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9.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447" w:rsidRPr="00115A5B" w:rsidRDefault="00115A5B" w:rsidP="00115A5B">
      <w:pPr>
        <w:snapToGrid w:val="0"/>
        <w:spacing w:before="120" w:after="120"/>
        <w:jc w:val="right"/>
        <w:rPr>
          <w:rFonts w:ascii="Times New Roman" w:eastAsia="Calibri" w:hAnsi="Times New Roman" w:cs="Times New Roman"/>
          <w:b/>
          <w:sz w:val="32"/>
          <w:szCs w:val="32"/>
          <w:lang w:val="cs-CZ"/>
        </w:rPr>
      </w:pPr>
      <w:bookmarkStart w:id="0" w:name="_GoBack"/>
      <w:bookmarkEnd w:id="0"/>
      <w:r w:rsidRPr="00115A5B">
        <w:rPr>
          <w:rFonts w:ascii="Times New Roman" w:eastAsia="Calibri" w:hAnsi="Times New Roman" w:cs="Times New Roman"/>
          <w:b/>
          <w:sz w:val="32"/>
          <w:szCs w:val="32"/>
          <w:lang w:val="cs-CZ"/>
        </w:rPr>
        <w:t>II.</w:t>
      </w:r>
    </w:p>
    <w:p w:rsidR="00CC6447" w:rsidRDefault="00CC6447" w:rsidP="0011719C">
      <w:pPr>
        <w:snapToGrid w:val="0"/>
        <w:spacing w:before="120" w:after="120"/>
        <w:jc w:val="both"/>
        <w:rPr>
          <w:rFonts w:ascii="Times New Roman" w:eastAsia="Calibri" w:hAnsi="Times New Roman" w:cs="Times New Roman"/>
          <w:sz w:val="24"/>
          <w:szCs w:val="24"/>
          <w:lang w:val="cs-CZ"/>
        </w:rPr>
      </w:pPr>
    </w:p>
    <w:p w:rsidR="0012339F" w:rsidRDefault="0012339F" w:rsidP="00CC6447">
      <w:pPr>
        <w:snapToGrid w:val="0"/>
        <w:spacing w:before="120" w:after="120"/>
        <w:jc w:val="center"/>
        <w:rPr>
          <w:rFonts w:ascii="Times New Roman" w:eastAsia="Calibri" w:hAnsi="Times New Roman" w:cs="Times New Roman"/>
          <w:b/>
          <w:sz w:val="32"/>
          <w:szCs w:val="32"/>
          <w:lang w:val="cs-CZ"/>
        </w:rPr>
      </w:pPr>
    </w:p>
    <w:p w:rsidR="0012339F" w:rsidRDefault="0012339F" w:rsidP="00CC6447">
      <w:pPr>
        <w:snapToGrid w:val="0"/>
        <w:spacing w:before="120" w:after="120"/>
        <w:jc w:val="center"/>
        <w:rPr>
          <w:rFonts w:ascii="Times New Roman" w:eastAsia="Calibri" w:hAnsi="Times New Roman" w:cs="Times New Roman"/>
          <w:b/>
          <w:sz w:val="32"/>
          <w:szCs w:val="32"/>
          <w:lang w:val="cs-CZ"/>
        </w:rPr>
      </w:pPr>
    </w:p>
    <w:p w:rsidR="0012339F" w:rsidRDefault="0012339F" w:rsidP="00CC6447">
      <w:pPr>
        <w:snapToGrid w:val="0"/>
        <w:spacing w:before="120" w:after="120"/>
        <w:jc w:val="center"/>
        <w:rPr>
          <w:rFonts w:ascii="Times New Roman" w:eastAsia="Calibri" w:hAnsi="Times New Roman" w:cs="Times New Roman"/>
          <w:b/>
          <w:sz w:val="32"/>
          <w:szCs w:val="32"/>
          <w:lang w:val="cs-CZ"/>
        </w:rPr>
      </w:pPr>
    </w:p>
    <w:p w:rsidR="0012339F" w:rsidRDefault="0012339F" w:rsidP="00CC6447">
      <w:pPr>
        <w:snapToGrid w:val="0"/>
        <w:spacing w:before="120" w:after="120"/>
        <w:jc w:val="center"/>
        <w:rPr>
          <w:rFonts w:ascii="Times New Roman" w:eastAsia="Calibri" w:hAnsi="Times New Roman" w:cs="Times New Roman"/>
          <w:b/>
          <w:sz w:val="32"/>
          <w:szCs w:val="32"/>
          <w:lang w:val="cs-CZ"/>
        </w:rPr>
      </w:pPr>
    </w:p>
    <w:p w:rsidR="0012339F" w:rsidRDefault="0012339F" w:rsidP="00CC6447">
      <w:pPr>
        <w:snapToGrid w:val="0"/>
        <w:spacing w:before="120" w:after="120"/>
        <w:jc w:val="center"/>
        <w:rPr>
          <w:rFonts w:ascii="Times New Roman" w:eastAsia="Calibri" w:hAnsi="Times New Roman" w:cs="Times New Roman"/>
          <w:b/>
          <w:sz w:val="32"/>
          <w:szCs w:val="32"/>
          <w:lang w:val="cs-CZ"/>
        </w:rPr>
      </w:pPr>
    </w:p>
    <w:p w:rsidR="0012339F" w:rsidRDefault="0012339F" w:rsidP="00CC6447">
      <w:pPr>
        <w:snapToGrid w:val="0"/>
        <w:spacing w:before="120" w:after="120"/>
        <w:jc w:val="center"/>
        <w:rPr>
          <w:rFonts w:ascii="Times New Roman" w:eastAsia="Calibri" w:hAnsi="Times New Roman" w:cs="Times New Roman"/>
          <w:b/>
          <w:sz w:val="32"/>
          <w:szCs w:val="32"/>
          <w:lang w:val="cs-CZ"/>
        </w:rPr>
      </w:pPr>
    </w:p>
    <w:p w:rsidR="0012339F" w:rsidRDefault="0012339F" w:rsidP="00CC6447">
      <w:pPr>
        <w:snapToGrid w:val="0"/>
        <w:spacing w:before="120" w:after="120"/>
        <w:jc w:val="center"/>
        <w:rPr>
          <w:rFonts w:ascii="Times New Roman" w:eastAsia="Calibri" w:hAnsi="Times New Roman" w:cs="Times New Roman"/>
          <w:b/>
          <w:sz w:val="32"/>
          <w:szCs w:val="32"/>
          <w:lang w:val="cs-CZ"/>
        </w:rPr>
      </w:pPr>
    </w:p>
    <w:p w:rsidR="0012339F" w:rsidRDefault="0012339F" w:rsidP="00CC6447">
      <w:pPr>
        <w:snapToGrid w:val="0"/>
        <w:spacing w:before="120" w:after="120"/>
        <w:jc w:val="center"/>
        <w:rPr>
          <w:rFonts w:ascii="Times New Roman" w:eastAsia="Calibri" w:hAnsi="Times New Roman" w:cs="Times New Roman"/>
          <w:b/>
          <w:sz w:val="32"/>
          <w:szCs w:val="32"/>
          <w:lang w:val="cs-CZ"/>
        </w:rPr>
      </w:pPr>
    </w:p>
    <w:p w:rsidR="00CC6447" w:rsidRPr="00CF5B13" w:rsidRDefault="00CC6447" w:rsidP="00CC6447">
      <w:pPr>
        <w:snapToGrid w:val="0"/>
        <w:spacing w:before="120" w:after="120"/>
        <w:jc w:val="center"/>
        <w:rPr>
          <w:rFonts w:ascii="Times New Roman" w:eastAsia="Calibri" w:hAnsi="Times New Roman" w:cs="Times New Roman"/>
          <w:b/>
          <w:sz w:val="32"/>
          <w:szCs w:val="32"/>
          <w:lang w:val="cs-CZ"/>
        </w:rPr>
      </w:pPr>
      <w:r w:rsidRPr="00CF5B13">
        <w:rPr>
          <w:rFonts w:ascii="Times New Roman" w:eastAsia="Calibri" w:hAnsi="Times New Roman" w:cs="Times New Roman"/>
          <w:b/>
          <w:sz w:val="32"/>
          <w:szCs w:val="32"/>
          <w:lang w:val="cs-CZ"/>
        </w:rPr>
        <w:t>Zpráva o plnění Národního akčního plánu České republiky k implementaci rezoluce Rady bezpečnosti OSN č. 1325 (2000), o ženách, míru a bezpečnosti a souvisejících rezolu</w:t>
      </w:r>
      <w:r w:rsidR="003616F7" w:rsidRPr="00CF5B13">
        <w:rPr>
          <w:rFonts w:ascii="Times New Roman" w:eastAsia="Calibri" w:hAnsi="Times New Roman" w:cs="Times New Roman"/>
          <w:b/>
          <w:sz w:val="32"/>
          <w:szCs w:val="32"/>
          <w:lang w:val="cs-CZ"/>
        </w:rPr>
        <w:t>cí na léta 2021-2025 za rok 2022</w:t>
      </w:r>
    </w:p>
    <w:p w:rsidR="00CC6447" w:rsidRPr="00CF5B13" w:rsidRDefault="00CC6447" w:rsidP="0011719C">
      <w:pPr>
        <w:snapToGrid w:val="0"/>
        <w:spacing w:before="120" w:after="120"/>
        <w:jc w:val="both"/>
        <w:rPr>
          <w:rFonts w:ascii="Times New Roman" w:eastAsia="Calibri" w:hAnsi="Times New Roman" w:cs="Times New Roman"/>
          <w:sz w:val="24"/>
          <w:szCs w:val="24"/>
          <w:lang w:val="cs-CZ"/>
        </w:rPr>
      </w:pPr>
    </w:p>
    <w:p w:rsidR="00CC6447" w:rsidRPr="00CF5B13" w:rsidRDefault="00CC6447" w:rsidP="0011719C">
      <w:pPr>
        <w:snapToGrid w:val="0"/>
        <w:spacing w:before="120" w:after="120"/>
        <w:jc w:val="both"/>
        <w:rPr>
          <w:rFonts w:ascii="Times New Roman" w:eastAsia="Calibri" w:hAnsi="Times New Roman" w:cs="Times New Roman"/>
          <w:sz w:val="24"/>
          <w:szCs w:val="24"/>
          <w:lang w:val="cs-CZ"/>
        </w:rPr>
      </w:pPr>
    </w:p>
    <w:p w:rsidR="00CC6447" w:rsidRPr="00CF5B13" w:rsidRDefault="00CC6447" w:rsidP="0011719C">
      <w:pPr>
        <w:snapToGrid w:val="0"/>
        <w:spacing w:before="120" w:after="120"/>
        <w:jc w:val="both"/>
        <w:rPr>
          <w:rFonts w:ascii="Times New Roman" w:eastAsia="Calibri" w:hAnsi="Times New Roman" w:cs="Times New Roman"/>
          <w:sz w:val="24"/>
          <w:szCs w:val="24"/>
          <w:lang w:val="cs-CZ"/>
        </w:rPr>
      </w:pPr>
    </w:p>
    <w:p w:rsidR="00CC6447" w:rsidRPr="00CF5B13" w:rsidRDefault="00CC6447" w:rsidP="0011719C">
      <w:pPr>
        <w:snapToGrid w:val="0"/>
        <w:spacing w:before="120" w:after="120"/>
        <w:jc w:val="both"/>
        <w:rPr>
          <w:rFonts w:ascii="Times New Roman" w:eastAsia="Calibri" w:hAnsi="Times New Roman" w:cs="Times New Roman"/>
          <w:sz w:val="24"/>
          <w:szCs w:val="24"/>
          <w:lang w:val="cs-CZ"/>
        </w:rPr>
      </w:pPr>
    </w:p>
    <w:p w:rsidR="00CC6447" w:rsidRPr="00CF5B13" w:rsidRDefault="00CC6447" w:rsidP="0011719C">
      <w:pPr>
        <w:snapToGrid w:val="0"/>
        <w:spacing w:before="120" w:after="120"/>
        <w:jc w:val="both"/>
        <w:rPr>
          <w:rFonts w:ascii="Times New Roman" w:eastAsia="Calibri" w:hAnsi="Times New Roman" w:cs="Times New Roman"/>
          <w:sz w:val="24"/>
          <w:szCs w:val="24"/>
          <w:lang w:val="cs-CZ"/>
        </w:rPr>
      </w:pPr>
    </w:p>
    <w:p w:rsidR="00CC6447" w:rsidRPr="00CF5B13" w:rsidRDefault="00CC6447" w:rsidP="0011719C">
      <w:pPr>
        <w:snapToGrid w:val="0"/>
        <w:spacing w:before="120" w:after="120"/>
        <w:jc w:val="both"/>
        <w:rPr>
          <w:rFonts w:ascii="Times New Roman" w:eastAsia="Calibri" w:hAnsi="Times New Roman" w:cs="Times New Roman"/>
          <w:sz w:val="24"/>
          <w:szCs w:val="24"/>
          <w:lang w:val="cs-CZ"/>
        </w:rPr>
      </w:pPr>
    </w:p>
    <w:p w:rsidR="00CC6447" w:rsidRPr="00CF5B13" w:rsidRDefault="00CC6447" w:rsidP="0011719C">
      <w:pPr>
        <w:snapToGrid w:val="0"/>
        <w:spacing w:before="120" w:after="120"/>
        <w:jc w:val="both"/>
        <w:rPr>
          <w:rFonts w:ascii="Times New Roman" w:eastAsia="Calibri" w:hAnsi="Times New Roman" w:cs="Times New Roman"/>
          <w:sz w:val="24"/>
          <w:szCs w:val="24"/>
          <w:lang w:val="cs-CZ"/>
        </w:rPr>
      </w:pPr>
    </w:p>
    <w:p w:rsidR="00CC6447" w:rsidRPr="00CF5B13" w:rsidRDefault="00CC6447" w:rsidP="0011719C">
      <w:pPr>
        <w:snapToGrid w:val="0"/>
        <w:spacing w:before="120" w:after="120"/>
        <w:jc w:val="both"/>
        <w:rPr>
          <w:rFonts w:ascii="Times New Roman" w:eastAsia="Calibri" w:hAnsi="Times New Roman" w:cs="Times New Roman"/>
          <w:sz w:val="24"/>
          <w:szCs w:val="24"/>
          <w:lang w:val="cs-CZ"/>
        </w:rPr>
      </w:pPr>
    </w:p>
    <w:p w:rsidR="00CC6447" w:rsidRPr="00CF5B13" w:rsidRDefault="00CC6447" w:rsidP="0011719C">
      <w:pPr>
        <w:snapToGrid w:val="0"/>
        <w:spacing w:before="120" w:after="120"/>
        <w:jc w:val="both"/>
        <w:rPr>
          <w:rFonts w:ascii="Times New Roman" w:eastAsia="Calibri" w:hAnsi="Times New Roman" w:cs="Times New Roman"/>
          <w:sz w:val="24"/>
          <w:szCs w:val="24"/>
          <w:lang w:val="cs-CZ"/>
        </w:rPr>
      </w:pPr>
    </w:p>
    <w:p w:rsidR="00CC6447" w:rsidRPr="00CF5B13" w:rsidRDefault="00CC6447" w:rsidP="0011719C">
      <w:pPr>
        <w:snapToGrid w:val="0"/>
        <w:spacing w:before="120" w:after="120"/>
        <w:jc w:val="both"/>
        <w:rPr>
          <w:rFonts w:ascii="Times New Roman" w:eastAsia="Calibri" w:hAnsi="Times New Roman" w:cs="Times New Roman"/>
          <w:sz w:val="24"/>
          <w:szCs w:val="24"/>
          <w:lang w:val="cs-CZ"/>
        </w:rPr>
      </w:pPr>
    </w:p>
    <w:p w:rsidR="00CC6447" w:rsidRPr="00CF5B13" w:rsidRDefault="00CC6447" w:rsidP="0011719C">
      <w:pPr>
        <w:snapToGrid w:val="0"/>
        <w:spacing w:before="120" w:after="120"/>
        <w:jc w:val="both"/>
        <w:rPr>
          <w:rFonts w:ascii="Times New Roman" w:eastAsia="Calibri" w:hAnsi="Times New Roman" w:cs="Times New Roman"/>
          <w:sz w:val="24"/>
          <w:szCs w:val="24"/>
          <w:lang w:val="cs-CZ"/>
        </w:rPr>
      </w:pPr>
    </w:p>
    <w:p w:rsidR="00CC6447" w:rsidRPr="00CF5B13" w:rsidRDefault="00CC6447" w:rsidP="0011719C">
      <w:pPr>
        <w:snapToGrid w:val="0"/>
        <w:spacing w:before="120" w:after="120"/>
        <w:jc w:val="both"/>
        <w:rPr>
          <w:rFonts w:ascii="Times New Roman" w:eastAsia="Calibri" w:hAnsi="Times New Roman" w:cs="Times New Roman"/>
          <w:sz w:val="24"/>
          <w:szCs w:val="24"/>
          <w:lang w:val="cs-CZ"/>
        </w:rPr>
      </w:pPr>
    </w:p>
    <w:p w:rsidR="00CC6447" w:rsidRPr="00CF5B13" w:rsidRDefault="00CC6447" w:rsidP="0011719C">
      <w:pPr>
        <w:snapToGrid w:val="0"/>
        <w:spacing w:before="120" w:after="120"/>
        <w:jc w:val="both"/>
        <w:rPr>
          <w:rFonts w:ascii="Times New Roman" w:eastAsia="Calibri" w:hAnsi="Times New Roman" w:cs="Times New Roman"/>
          <w:sz w:val="24"/>
          <w:szCs w:val="24"/>
          <w:lang w:val="cs-CZ"/>
        </w:rPr>
      </w:pPr>
    </w:p>
    <w:p w:rsidR="00CC6447" w:rsidRPr="00CF5B13" w:rsidRDefault="00CC6447" w:rsidP="0011719C">
      <w:pPr>
        <w:snapToGrid w:val="0"/>
        <w:spacing w:before="120" w:after="120"/>
        <w:jc w:val="both"/>
        <w:rPr>
          <w:rFonts w:ascii="Times New Roman" w:eastAsia="Calibri" w:hAnsi="Times New Roman" w:cs="Times New Roman"/>
          <w:sz w:val="24"/>
          <w:szCs w:val="24"/>
          <w:lang w:val="cs-CZ"/>
        </w:rPr>
      </w:pPr>
    </w:p>
    <w:p w:rsidR="00CC6447" w:rsidRPr="00CF5B13" w:rsidRDefault="00CC6447" w:rsidP="0011719C">
      <w:pPr>
        <w:snapToGrid w:val="0"/>
        <w:spacing w:before="120" w:after="120"/>
        <w:jc w:val="both"/>
        <w:rPr>
          <w:rFonts w:ascii="Times New Roman" w:eastAsia="Calibri" w:hAnsi="Times New Roman" w:cs="Times New Roman"/>
          <w:sz w:val="24"/>
          <w:szCs w:val="24"/>
          <w:lang w:val="cs-CZ"/>
        </w:rPr>
      </w:pPr>
    </w:p>
    <w:p w:rsidR="00B20DCC" w:rsidRPr="00CF5B13" w:rsidRDefault="00B20DCC">
      <w:pPr>
        <w:rPr>
          <w:rFonts w:ascii="Times New Roman" w:eastAsia="Calibri" w:hAnsi="Times New Roman" w:cs="Times New Roman"/>
          <w:sz w:val="24"/>
          <w:szCs w:val="24"/>
          <w:lang w:val="cs-CZ"/>
        </w:rPr>
      </w:pPr>
    </w:p>
    <w:sdt>
      <w:sdtPr>
        <w:rPr>
          <w:rFonts w:asciiTheme="minorHAnsi" w:eastAsiaTheme="minorHAnsi" w:hAnsiTheme="minorHAnsi" w:cstheme="minorBidi"/>
          <w:color w:val="auto"/>
          <w:sz w:val="22"/>
          <w:szCs w:val="22"/>
          <w:lang w:val="cs-CZ"/>
        </w:rPr>
        <w:id w:val="-82763634"/>
        <w:docPartObj>
          <w:docPartGallery w:val="Table of Contents"/>
          <w:docPartUnique/>
        </w:docPartObj>
      </w:sdtPr>
      <w:sdtEndPr>
        <w:rPr>
          <w:b/>
          <w:bCs/>
        </w:rPr>
      </w:sdtEndPr>
      <w:sdtContent>
        <w:p w:rsidR="00B20DCC" w:rsidRPr="00CF5B13" w:rsidRDefault="00B20DCC">
          <w:pPr>
            <w:pStyle w:val="Nadpisobsahu"/>
            <w:rPr>
              <w:rFonts w:ascii="Times New Roman" w:hAnsi="Times New Roman" w:cs="Times New Roman"/>
              <w:b/>
              <w:color w:val="auto"/>
              <w:lang w:val="cs-CZ"/>
            </w:rPr>
          </w:pPr>
          <w:r w:rsidRPr="00CF5B13">
            <w:rPr>
              <w:rFonts w:ascii="Times New Roman" w:hAnsi="Times New Roman" w:cs="Times New Roman"/>
              <w:b/>
              <w:color w:val="auto"/>
              <w:lang w:val="cs-CZ"/>
            </w:rPr>
            <w:t>Obsah</w:t>
          </w:r>
        </w:p>
        <w:p w:rsidR="00D23034" w:rsidRPr="00CF5B13" w:rsidRDefault="00D23034" w:rsidP="00D23034">
          <w:pPr>
            <w:rPr>
              <w:rFonts w:ascii="Times New Roman" w:hAnsi="Times New Roman" w:cs="Times New Roman"/>
              <w:b/>
              <w:sz w:val="28"/>
              <w:szCs w:val="28"/>
              <w:lang w:val="cs-CZ"/>
            </w:rPr>
          </w:pPr>
        </w:p>
        <w:p w:rsidR="00B0597F" w:rsidRDefault="00B20DCC">
          <w:pPr>
            <w:pStyle w:val="Obsah1"/>
            <w:rPr>
              <w:rFonts w:eastAsiaTheme="minorEastAsia"/>
              <w:noProof/>
              <w:lang w:val="cs-CZ" w:eastAsia="cs-CZ"/>
            </w:rPr>
          </w:pPr>
          <w:r w:rsidRPr="00CF5B13">
            <w:rPr>
              <w:rFonts w:ascii="Times New Roman" w:hAnsi="Times New Roman" w:cs="Times New Roman"/>
              <w:b/>
              <w:sz w:val="28"/>
              <w:szCs w:val="28"/>
            </w:rPr>
            <w:fldChar w:fldCharType="begin"/>
          </w:r>
          <w:r w:rsidRPr="00CF5B13">
            <w:rPr>
              <w:rFonts w:ascii="Times New Roman" w:hAnsi="Times New Roman" w:cs="Times New Roman"/>
              <w:b/>
              <w:sz w:val="28"/>
              <w:szCs w:val="28"/>
            </w:rPr>
            <w:instrText xml:space="preserve"> TOC \o "1-3" \h \z \u </w:instrText>
          </w:r>
          <w:r w:rsidRPr="00CF5B13">
            <w:rPr>
              <w:rFonts w:ascii="Times New Roman" w:hAnsi="Times New Roman" w:cs="Times New Roman"/>
              <w:b/>
              <w:sz w:val="28"/>
              <w:szCs w:val="28"/>
            </w:rPr>
            <w:fldChar w:fldCharType="separate"/>
          </w:r>
          <w:hyperlink w:anchor="_Toc134015670" w:history="1">
            <w:r w:rsidR="00B0597F" w:rsidRPr="00195EE2">
              <w:rPr>
                <w:rStyle w:val="Hypertextovodkaz"/>
                <w:rFonts w:eastAsia="Calibri"/>
                <w:noProof/>
                <w:lang w:val="cs-CZ"/>
              </w:rPr>
              <w:t>I.</w:t>
            </w:r>
            <w:r w:rsidR="00B0597F">
              <w:rPr>
                <w:rFonts w:eastAsiaTheme="minorEastAsia"/>
                <w:noProof/>
                <w:lang w:val="cs-CZ" w:eastAsia="cs-CZ"/>
              </w:rPr>
              <w:tab/>
            </w:r>
            <w:r w:rsidR="00B0597F" w:rsidRPr="00195EE2">
              <w:rPr>
                <w:rStyle w:val="Hypertextovodkaz"/>
                <w:rFonts w:eastAsia="Calibri"/>
                <w:noProof/>
                <w:lang w:val="cs-CZ"/>
              </w:rPr>
              <w:t>Úvod</w:t>
            </w:r>
            <w:r w:rsidR="00B0597F">
              <w:rPr>
                <w:noProof/>
                <w:webHidden/>
              </w:rPr>
              <w:tab/>
            </w:r>
            <w:r w:rsidR="00B0597F">
              <w:rPr>
                <w:noProof/>
                <w:webHidden/>
              </w:rPr>
              <w:fldChar w:fldCharType="begin"/>
            </w:r>
            <w:r w:rsidR="00B0597F">
              <w:rPr>
                <w:noProof/>
                <w:webHidden/>
              </w:rPr>
              <w:instrText xml:space="preserve"> PAGEREF _Toc134015670 \h </w:instrText>
            </w:r>
            <w:r w:rsidR="00B0597F">
              <w:rPr>
                <w:noProof/>
                <w:webHidden/>
              </w:rPr>
            </w:r>
            <w:r w:rsidR="00B0597F">
              <w:rPr>
                <w:noProof/>
                <w:webHidden/>
              </w:rPr>
              <w:fldChar w:fldCharType="separate"/>
            </w:r>
            <w:r w:rsidR="00115A5B">
              <w:rPr>
                <w:noProof/>
                <w:webHidden/>
              </w:rPr>
              <w:t>3</w:t>
            </w:r>
            <w:r w:rsidR="00B0597F">
              <w:rPr>
                <w:noProof/>
                <w:webHidden/>
              </w:rPr>
              <w:fldChar w:fldCharType="end"/>
            </w:r>
          </w:hyperlink>
        </w:p>
        <w:p w:rsidR="00B0597F" w:rsidRDefault="0015742D">
          <w:pPr>
            <w:pStyle w:val="Obsah1"/>
            <w:rPr>
              <w:rFonts w:eastAsiaTheme="minorEastAsia"/>
              <w:noProof/>
              <w:lang w:val="cs-CZ" w:eastAsia="cs-CZ"/>
            </w:rPr>
          </w:pPr>
          <w:hyperlink w:anchor="_Toc134015671" w:history="1">
            <w:r w:rsidR="00B0597F" w:rsidRPr="00195EE2">
              <w:rPr>
                <w:rStyle w:val="Hypertextovodkaz"/>
                <w:rFonts w:eastAsia="Calibri"/>
                <w:noProof/>
                <w:lang w:val="cs-CZ"/>
              </w:rPr>
              <w:t>II.</w:t>
            </w:r>
            <w:r w:rsidR="00B0597F">
              <w:rPr>
                <w:rFonts w:eastAsiaTheme="minorEastAsia"/>
                <w:noProof/>
                <w:lang w:val="cs-CZ" w:eastAsia="cs-CZ"/>
              </w:rPr>
              <w:tab/>
            </w:r>
            <w:r w:rsidR="00B0597F" w:rsidRPr="00195EE2">
              <w:rPr>
                <w:rStyle w:val="Hypertextovodkaz"/>
                <w:rFonts w:eastAsia="Calibri"/>
                <w:noProof/>
                <w:lang w:val="cs-CZ"/>
              </w:rPr>
              <w:t>Implementace Agendy WPS v roce 2022</w:t>
            </w:r>
            <w:r w:rsidR="00B0597F">
              <w:rPr>
                <w:noProof/>
                <w:webHidden/>
              </w:rPr>
              <w:tab/>
            </w:r>
            <w:r w:rsidR="00B0597F">
              <w:rPr>
                <w:noProof/>
                <w:webHidden/>
              </w:rPr>
              <w:fldChar w:fldCharType="begin"/>
            </w:r>
            <w:r w:rsidR="00B0597F">
              <w:rPr>
                <w:noProof/>
                <w:webHidden/>
              </w:rPr>
              <w:instrText xml:space="preserve"> PAGEREF _Toc134015671 \h </w:instrText>
            </w:r>
            <w:r w:rsidR="00B0597F">
              <w:rPr>
                <w:noProof/>
                <w:webHidden/>
              </w:rPr>
            </w:r>
            <w:r w:rsidR="00B0597F">
              <w:rPr>
                <w:noProof/>
                <w:webHidden/>
              </w:rPr>
              <w:fldChar w:fldCharType="separate"/>
            </w:r>
            <w:r w:rsidR="00115A5B">
              <w:rPr>
                <w:noProof/>
                <w:webHidden/>
              </w:rPr>
              <w:t>4</w:t>
            </w:r>
            <w:r w:rsidR="00B0597F">
              <w:rPr>
                <w:noProof/>
                <w:webHidden/>
              </w:rPr>
              <w:fldChar w:fldCharType="end"/>
            </w:r>
          </w:hyperlink>
        </w:p>
        <w:p w:rsidR="00B0597F" w:rsidRDefault="0015742D">
          <w:pPr>
            <w:pStyle w:val="Obsah1"/>
            <w:rPr>
              <w:rFonts w:eastAsiaTheme="minorEastAsia"/>
              <w:noProof/>
              <w:lang w:val="cs-CZ" w:eastAsia="cs-CZ"/>
            </w:rPr>
          </w:pPr>
          <w:hyperlink w:anchor="_Toc134015672" w:history="1">
            <w:r w:rsidR="00B0597F" w:rsidRPr="00195EE2">
              <w:rPr>
                <w:rStyle w:val="Hypertextovodkaz"/>
                <w:noProof/>
                <w:lang w:val="cs-CZ"/>
              </w:rPr>
              <w:t>III.</w:t>
            </w:r>
            <w:r w:rsidR="00B0597F">
              <w:rPr>
                <w:rFonts w:eastAsiaTheme="minorEastAsia"/>
                <w:noProof/>
                <w:lang w:val="cs-CZ" w:eastAsia="cs-CZ"/>
              </w:rPr>
              <w:tab/>
            </w:r>
            <w:r w:rsidR="00B0597F" w:rsidRPr="00195EE2">
              <w:rPr>
                <w:rStyle w:val="Hypertextovodkaz"/>
                <w:noProof/>
                <w:lang w:val="cs-CZ"/>
              </w:rPr>
              <w:t>Implementace konkrétních opatření v roce 2022</w:t>
            </w:r>
            <w:r w:rsidR="00B0597F">
              <w:rPr>
                <w:noProof/>
                <w:webHidden/>
              </w:rPr>
              <w:tab/>
            </w:r>
            <w:r w:rsidR="00B0597F">
              <w:rPr>
                <w:noProof/>
                <w:webHidden/>
              </w:rPr>
              <w:fldChar w:fldCharType="begin"/>
            </w:r>
            <w:r w:rsidR="00B0597F">
              <w:rPr>
                <w:noProof/>
                <w:webHidden/>
              </w:rPr>
              <w:instrText xml:space="preserve"> PAGEREF _Toc134015672 \h </w:instrText>
            </w:r>
            <w:r w:rsidR="00B0597F">
              <w:rPr>
                <w:noProof/>
                <w:webHidden/>
              </w:rPr>
            </w:r>
            <w:r w:rsidR="00B0597F">
              <w:rPr>
                <w:noProof/>
                <w:webHidden/>
              </w:rPr>
              <w:fldChar w:fldCharType="separate"/>
            </w:r>
            <w:r w:rsidR="00115A5B">
              <w:rPr>
                <w:noProof/>
                <w:webHidden/>
              </w:rPr>
              <w:t>4</w:t>
            </w:r>
            <w:r w:rsidR="00B0597F">
              <w:rPr>
                <w:noProof/>
                <w:webHidden/>
              </w:rPr>
              <w:fldChar w:fldCharType="end"/>
            </w:r>
          </w:hyperlink>
        </w:p>
        <w:p w:rsidR="00B0597F" w:rsidRDefault="0015742D">
          <w:pPr>
            <w:pStyle w:val="Obsah1"/>
            <w:rPr>
              <w:rFonts w:eastAsiaTheme="minorEastAsia"/>
              <w:noProof/>
              <w:lang w:val="cs-CZ" w:eastAsia="cs-CZ"/>
            </w:rPr>
          </w:pPr>
          <w:hyperlink w:anchor="_Toc134015673" w:history="1">
            <w:r w:rsidR="00B0597F" w:rsidRPr="00195EE2">
              <w:rPr>
                <w:rStyle w:val="Hypertextovodkaz"/>
                <w:noProof/>
                <w:lang w:val="cs-CZ"/>
              </w:rPr>
              <w:t>1.</w:t>
            </w:r>
            <w:r w:rsidR="00B0597F">
              <w:rPr>
                <w:rFonts w:eastAsiaTheme="minorEastAsia"/>
                <w:noProof/>
                <w:lang w:val="cs-CZ" w:eastAsia="cs-CZ"/>
              </w:rPr>
              <w:tab/>
            </w:r>
            <w:r w:rsidR="00B0597F" w:rsidRPr="00195EE2">
              <w:rPr>
                <w:rStyle w:val="Hypertextovodkaz"/>
                <w:noProof/>
                <w:lang w:val="cs-CZ"/>
              </w:rPr>
              <w:t>Participace</w:t>
            </w:r>
            <w:r w:rsidR="00B0597F">
              <w:rPr>
                <w:noProof/>
                <w:webHidden/>
              </w:rPr>
              <w:tab/>
            </w:r>
            <w:r w:rsidR="00B0597F">
              <w:rPr>
                <w:noProof/>
                <w:webHidden/>
              </w:rPr>
              <w:fldChar w:fldCharType="begin"/>
            </w:r>
            <w:r w:rsidR="00B0597F">
              <w:rPr>
                <w:noProof/>
                <w:webHidden/>
              </w:rPr>
              <w:instrText xml:space="preserve"> PAGEREF _Toc134015673 \h </w:instrText>
            </w:r>
            <w:r w:rsidR="00B0597F">
              <w:rPr>
                <w:noProof/>
                <w:webHidden/>
              </w:rPr>
            </w:r>
            <w:r w:rsidR="00B0597F">
              <w:rPr>
                <w:noProof/>
                <w:webHidden/>
              </w:rPr>
              <w:fldChar w:fldCharType="separate"/>
            </w:r>
            <w:r w:rsidR="00115A5B">
              <w:rPr>
                <w:noProof/>
                <w:webHidden/>
              </w:rPr>
              <w:t>5</w:t>
            </w:r>
            <w:r w:rsidR="00B0597F">
              <w:rPr>
                <w:noProof/>
                <w:webHidden/>
              </w:rPr>
              <w:fldChar w:fldCharType="end"/>
            </w:r>
          </w:hyperlink>
        </w:p>
        <w:p w:rsidR="00B0597F" w:rsidRDefault="0015742D">
          <w:pPr>
            <w:pStyle w:val="Obsah1"/>
            <w:rPr>
              <w:rFonts w:eastAsiaTheme="minorEastAsia"/>
              <w:noProof/>
              <w:lang w:val="cs-CZ" w:eastAsia="cs-CZ"/>
            </w:rPr>
          </w:pPr>
          <w:hyperlink w:anchor="_Toc134015674" w:history="1">
            <w:r w:rsidR="00B0597F" w:rsidRPr="00195EE2">
              <w:rPr>
                <w:rStyle w:val="Hypertextovodkaz"/>
                <w:noProof/>
                <w:lang w:val="cs-CZ"/>
              </w:rPr>
              <w:t>2.</w:t>
            </w:r>
            <w:r w:rsidR="00B0597F">
              <w:rPr>
                <w:rFonts w:eastAsiaTheme="minorEastAsia"/>
                <w:noProof/>
                <w:lang w:val="cs-CZ" w:eastAsia="cs-CZ"/>
              </w:rPr>
              <w:tab/>
            </w:r>
            <w:r w:rsidR="00B0597F" w:rsidRPr="00195EE2">
              <w:rPr>
                <w:rStyle w:val="Hypertextovodkaz"/>
                <w:noProof/>
                <w:lang w:val="cs-CZ"/>
              </w:rPr>
              <w:t>Ochrana</w:t>
            </w:r>
            <w:r w:rsidR="00B0597F">
              <w:rPr>
                <w:noProof/>
                <w:webHidden/>
              </w:rPr>
              <w:tab/>
            </w:r>
            <w:r w:rsidR="00B0597F">
              <w:rPr>
                <w:noProof/>
                <w:webHidden/>
              </w:rPr>
              <w:fldChar w:fldCharType="begin"/>
            </w:r>
            <w:r w:rsidR="00B0597F">
              <w:rPr>
                <w:noProof/>
                <w:webHidden/>
              </w:rPr>
              <w:instrText xml:space="preserve"> PAGEREF _Toc134015674 \h </w:instrText>
            </w:r>
            <w:r w:rsidR="00B0597F">
              <w:rPr>
                <w:noProof/>
                <w:webHidden/>
              </w:rPr>
            </w:r>
            <w:r w:rsidR="00B0597F">
              <w:rPr>
                <w:noProof/>
                <w:webHidden/>
              </w:rPr>
              <w:fldChar w:fldCharType="separate"/>
            </w:r>
            <w:r w:rsidR="00115A5B">
              <w:rPr>
                <w:noProof/>
                <w:webHidden/>
              </w:rPr>
              <w:t>18</w:t>
            </w:r>
            <w:r w:rsidR="00B0597F">
              <w:rPr>
                <w:noProof/>
                <w:webHidden/>
              </w:rPr>
              <w:fldChar w:fldCharType="end"/>
            </w:r>
          </w:hyperlink>
        </w:p>
        <w:p w:rsidR="00B0597F" w:rsidRDefault="0015742D">
          <w:pPr>
            <w:pStyle w:val="Obsah1"/>
            <w:rPr>
              <w:rFonts w:eastAsiaTheme="minorEastAsia"/>
              <w:noProof/>
              <w:lang w:val="cs-CZ" w:eastAsia="cs-CZ"/>
            </w:rPr>
          </w:pPr>
          <w:hyperlink w:anchor="_Toc134015675" w:history="1">
            <w:r w:rsidR="00B0597F" w:rsidRPr="00195EE2">
              <w:rPr>
                <w:rStyle w:val="Hypertextovodkaz"/>
                <w:noProof/>
                <w:lang w:val="cs-CZ"/>
              </w:rPr>
              <w:t>3.</w:t>
            </w:r>
            <w:r w:rsidR="00B0597F">
              <w:rPr>
                <w:rFonts w:eastAsiaTheme="minorEastAsia"/>
                <w:noProof/>
                <w:lang w:val="cs-CZ" w:eastAsia="cs-CZ"/>
              </w:rPr>
              <w:tab/>
            </w:r>
            <w:r w:rsidR="00B0597F" w:rsidRPr="00195EE2">
              <w:rPr>
                <w:rStyle w:val="Hypertextovodkaz"/>
                <w:noProof/>
                <w:lang w:val="cs-CZ"/>
              </w:rPr>
              <w:t>Prevence</w:t>
            </w:r>
            <w:r w:rsidR="00B0597F">
              <w:rPr>
                <w:noProof/>
                <w:webHidden/>
              </w:rPr>
              <w:tab/>
            </w:r>
            <w:r w:rsidR="00B0597F">
              <w:rPr>
                <w:noProof/>
                <w:webHidden/>
              </w:rPr>
              <w:fldChar w:fldCharType="begin"/>
            </w:r>
            <w:r w:rsidR="00B0597F">
              <w:rPr>
                <w:noProof/>
                <w:webHidden/>
              </w:rPr>
              <w:instrText xml:space="preserve"> PAGEREF _Toc134015675 \h </w:instrText>
            </w:r>
            <w:r w:rsidR="00B0597F">
              <w:rPr>
                <w:noProof/>
                <w:webHidden/>
              </w:rPr>
            </w:r>
            <w:r w:rsidR="00B0597F">
              <w:rPr>
                <w:noProof/>
                <w:webHidden/>
              </w:rPr>
              <w:fldChar w:fldCharType="separate"/>
            </w:r>
            <w:r w:rsidR="00115A5B">
              <w:rPr>
                <w:noProof/>
                <w:webHidden/>
              </w:rPr>
              <w:t>25</w:t>
            </w:r>
            <w:r w:rsidR="00B0597F">
              <w:rPr>
                <w:noProof/>
                <w:webHidden/>
              </w:rPr>
              <w:fldChar w:fldCharType="end"/>
            </w:r>
          </w:hyperlink>
        </w:p>
        <w:p w:rsidR="00B0597F" w:rsidRDefault="0015742D">
          <w:pPr>
            <w:pStyle w:val="Obsah1"/>
            <w:rPr>
              <w:rFonts w:eastAsiaTheme="minorEastAsia"/>
              <w:noProof/>
              <w:lang w:val="cs-CZ" w:eastAsia="cs-CZ"/>
            </w:rPr>
          </w:pPr>
          <w:hyperlink w:anchor="_Toc134015676" w:history="1">
            <w:r w:rsidR="00B0597F" w:rsidRPr="00195EE2">
              <w:rPr>
                <w:rStyle w:val="Hypertextovodkaz"/>
                <w:noProof/>
                <w:lang w:val="cs-CZ"/>
              </w:rPr>
              <w:t>4.</w:t>
            </w:r>
            <w:r w:rsidR="00B0597F">
              <w:rPr>
                <w:rFonts w:eastAsiaTheme="minorEastAsia"/>
                <w:noProof/>
                <w:lang w:val="cs-CZ" w:eastAsia="cs-CZ"/>
              </w:rPr>
              <w:tab/>
            </w:r>
            <w:r w:rsidR="00B0597F" w:rsidRPr="00195EE2">
              <w:rPr>
                <w:rStyle w:val="Hypertextovodkaz"/>
                <w:noProof/>
                <w:lang w:val="cs-CZ"/>
              </w:rPr>
              <w:t>Asistence a obnova</w:t>
            </w:r>
            <w:r w:rsidR="00B0597F">
              <w:rPr>
                <w:noProof/>
                <w:webHidden/>
              </w:rPr>
              <w:tab/>
            </w:r>
            <w:r w:rsidR="00B0597F">
              <w:rPr>
                <w:noProof/>
                <w:webHidden/>
              </w:rPr>
              <w:fldChar w:fldCharType="begin"/>
            </w:r>
            <w:r w:rsidR="00B0597F">
              <w:rPr>
                <w:noProof/>
                <w:webHidden/>
              </w:rPr>
              <w:instrText xml:space="preserve"> PAGEREF _Toc134015676 \h </w:instrText>
            </w:r>
            <w:r w:rsidR="00B0597F">
              <w:rPr>
                <w:noProof/>
                <w:webHidden/>
              </w:rPr>
            </w:r>
            <w:r w:rsidR="00B0597F">
              <w:rPr>
                <w:noProof/>
                <w:webHidden/>
              </w:rPr>
              <w:fldChar w:fldCharType="separate"/>
            </w:r>
            <w:r w:rsidR="00115A5B">
              <w:rPr>
                <w:noProof/>
                <w:webHidden/>
              </w:rPr>
              <w:t>28</w:t>
            </w:r>
            <w:r w:rsidR="00B0597F">
              <w:rPr>
                <w:noProof/>
                <w:webHidden/>
              </w:rPr>
              <w:fldChar w:fldCharType="end"/>
            </w:r>
          </w:hyperlink>
        </w:p>
        <w:p w:rsidR="00B0597F" w:rsidRDefault="0015742D">
          <w:pPr>
            <w:pStyle w:val="Obsah1"/>
            <w:rPr>
              <w:rFonts w:eastAsiaTheme="minorEastAsia"/>
              <w:noProof/>
              <w:lang w:val="cs-CZ" w:eastAsia="cs-CZ"/>
            </w:rPr>
          </w:pPr>
          <w:hyperlink w:anchor="_Toc134015677" w:history="1">
            <w:r w:rsidR="00B0597F" w:rsidRPr="00195EE2">
              <w:rPr>
                <w:rStyle w:val="Hypertextovodkaz"/>
                <w:noProof/>
                <w:lang w:val="cs-CZ"/>
              </w:rPr>
              <w:t>Seznam zkratek</w:t>
            </w:r>
            <w:r w:rsidR="00B0597F">
              <w:rPr>
                <w:noProof/>
                <w:webHidden/>
              </w:rPr>
              <w:tab/>
            </w:r>
            <w:r w:rsidR="00B0597F">
              <w:rPr>
                <w:noProof/>
                <w:webHidden/>
              </w:rPr>
              <w:fldChar w:fldCharType="begin"/>
            </w:r>
            <w:r w:rsidR="00B0597F">
              <w:rPr>
                <w:noProof/>
                <w:webHidden/>
              </w:rPr>
              <w:instrText xml:space="preserve"> PAGEREF _Toc134015677 \h </w:instrText>
            </w:r>
            <w:r w:rsidR="00B0597F">
              <w:rPr>
                <w:noProof/>
                <w:webHidden/>
              </w:rPr>
            </w:r>
            <w:r w:rsidR="00B0597F">
              <w:rPr>
                <w:noProof/>
                <w:webHidden/>
              </w:rPr>
              <w:fldChar w:fldCharType="separate"/>
            </w:r>
            <w:r w:rsidR="00115A5B">
              <w:rPr>
                <w:noProof/>
                <w:webHidden/>
              </w:rPr>
              <w:t>30</w:t>
            </w:r>
            <w:r w:rsidR="00B0597F">
              <w:rPr>
                <w:noProof/>
                <w:webHidden/>
              </w:rPr>
              <w:fldChar w:fldCharType="end"/>
            </w:r>
          </w:hyperlink>
        </w:p>
        <w:p w:rsidR="00B20DCC" w:rsidRPr="00CF5B13" w:rsidRDefault="00B20DCC" w:rsidP="00D23034">
          <w:pPr>
            <w:jc w:val="both"/>
          </w:pPr>
          <w:r w:rsidRPr="00CF5B13">
            <w:rPr>
              <w:rFonts w:ascii="Times New Roman" w:hAnsi="Times New Roman" w:cs="Times New Roman"/>
              <w:b/>
              <w:bCs/>
              <w:sz w:val="28"/>
              <w:szCs w:val="28"/>
              <w:lang w:val="cs-CZ"/>
            </w:rPr>
            <w:fldChar w:fldCharType="end"/>
          </w:r>
        </w:p>
      </w:sdtContent>
    </w:sdt>
    <w:p w:rsidR="002E1B6B" w:rsidRPr="00CF5B13" w:rsidRDefault="002E1B6B">
      <w:pPr>
        <w:rPr>
          <w:rFonts w:ascii="Times New Roman" w:eastAsia="Calibri" w:hAnsi="Times New Roman" w:cs="Times New Roman"/>
          <w:sz w:val="24"/>
          <w:szCs w:val="24"/>
          <w:lang w:val="cs-CZ"/>
        </w:rPr>
      </w:pPr>
      <w:r w:rsidRPr="00CF5B13">
        <w:rPr>
          <w:rFonts w:ascii="Times New Roman" w:eastAsia="Calibri" w:hAnsi="Times New Roman" w:cs="Times New Roman"/>
          <w:sz w:val="24"/>
          <w:szCs w:val="24"/>
          <w:lang w:val="cs-CZ"/>
        </w:rPr>
        <w:br w:type="page"/>
      </w:r>
    </w:p>
    <w:p w:rsidR="00810DE9" w:rsidRPr="00CF5B13" w:rsidRDefault="004A36A8" w:rsidP="003C620E">
      <w:pPr>
        <w:pStyle w:val="Nadpis1"/>
        <w:numPr>
          <w:ilvl w:val="0"/>
          <w:numId w:val="9"/>
        </w:numPr>
        <w:rPr>
          <w:rFonts w:eastAsia="Calibri"/>
          <w:b w:val="0"/>
          <w:lang w:val="cs-CZ"/>
        </w:rPr>
      </w:pPr>
      <w:bookmarkStart w:id="1" w:name="_Toc134015670"/>
      <w:r w:rsidRPr="00CF5B13">
        <w:rPr>
          <w:rFonts w:eastAsia="Calibri"/>
          <w:lang w:val="cs-CZ"/>
        </w:rPr>
        <w:lastRenderedPageBreak/>
        <w:t>Úvod</w:t>
      </w:r>
      <w:bookmarkEnd w:id="1"/>
    </w:p>
    <w:p w:rsidR="00810DE9" w:rsidRPr="00CF5B13" w:rsidRDefault="00810DE9" w:rsidP="00810DE9">
      <w:pPr>
        <w:pStyle w:val="Odstavecseseznamem"/>
        <w:snapToGrid w:val="0"/>
        <w:spacing w:before="120" w:after="120"/>
        <w:ind w:left="1080"/>
        <w:jc w:val="both"/>
        <w:rPr>
          <w:rFonts w:ascii="Times New Roman" w:eastAsia="Calibri" w:hAnsi="Times New Roman" w:cs="Times New Roman"/>
          <w:b/>
          <w:sz w:val="24"/>
          <w:szCs w:val="24"/>
          <w:u w:val="single"/>
          <w:lang w:val="cs-CZ"/>
        </w:rPr>
      </w:pPr>
    </w:p>
    <w:p w:rsidR="0011719C" w:rsidRPr="00CF5B13" w:rsidRDefault="0011719C" w:rsidP="0011719C">
      <w:pPr>
        <w:snapToGrid w:val="0"/>
        <w:spacing w:before="120" w:after="120"/>
        <w:jc w:val="both"/>
        <w:rPr>
          <w:rFonts w:ascii="Times New Roman" w:eastAsia="Calibri" w:hAnsi="Times New Roman" w:cs="Times New Roman"/>
          <w:sz w:val="24"/>
          <w:szCs w:val="24"/>
          <w:lang w:val="cs-CZ"/>
        </w:rPr>
      </w:pPr>
      <w:r w:rsidRPr="00CF5B13">
        <w:rPr>
          <w:rFonts w:ascii="Times New Roman" w:eastAsia="Calibri" w:hAnsi="Times New Roman" w:cs="Times New Roman"/>
          <w:sz w:val="24"/>
          <w:szCs w:val="24"/>
          <w:lang w:val="cs-CZ"/>
        </w:rPr>
        <w:t>Usnesením vlády České republiky č. 1218 ze dne 23. listopadu 2020 byl schválen druhý Národní akční plán České republiky k implementaci rezoluce R</w:t>
      </w:r>
      <w:r w:rsidR="000860AE" w:rsidRPr="00CF5B13">
        <w:rPr>
          <w:rFonts w:ascii="Times New Roman" w:eastAsia="Calibri" w:hAnsi="Times New Roman" w:cs="Times New Roman"/>
          <w:sz w:val="24"/>
          <w:szCs w:val="24"/>
          <w:lang w:val="cs-CZ"/>
        </w:rPr>
        <w:t>a</w:t>
      </w:r>
      <w:r w:rsidRPr="00CF5B13">
        <w:rPr>
          <w:rFonts w:ascii="Times New Roman" w:eastAsia="Calibri" w:hAnsi="Times New Roman" w:cs="Times New Roman"/>
          <w:sz w:val="24"/>
          <w:szCs w:val="24"/>
          <w:lang w:val="cs-CZ"/>
        </w:rPr>
        <w:t>dy</w:t>
      </w:r>
      <w:r w:rsidR="00C6079D" w:rsidRPr="00CF5B13">
        <w:rPr>
          <w:rFonts w:ascii="Times New Roman" w:eastAsia="Calibri" w:hAnsi="Times New Roman" w:cs="Times New Roman"/>
          <w:sz w:val="24"/>
          <w:szCs w:val="24"/>
          <w:lang w:val="cs-CZ"/>
        </w:rPr>
        <w:t xml:space="preserve"> bezpečnosti OSN č. 1325 (2000)</w:t>
      </w:r>
      <w:r w:rsidR="00B75FEF">
        <w:rPr>
          <w:rFonts w:ascii="Times New Roman" w:eastAsia="Calibri" w:hAnsi="Times New Roman" w:cs="Times New Roman"/>
          <w:sz w:val="24"/>
          <w:szCs w:val="24"/>
          <w:lang w:val="cs-CZ"/>
        </w:rPr>
        <w:t>,</w:t>
      </w:r>
      <w:r w:rsidR="00C6079D" w:rsidRPr="00CF5B13">
        <w:rPr>
          <w:rFonts w:ascii="Times New Roman" w:eastAsia="Calibri" w:hAnsi="Times New Roman" w:cs="Times New Roman"/>
          <w:sz w:val="24"/>
          <w:szCs w:val="24"/>
          <w:lang w:val="cs-CZ"/>
        </w:rPr>
        <w:t xml:space="preserve"> </w:t>
      </w:r>
      <w:r w:rsidRPr="00CF5B13">
        <w:rPr>
          <w:rFonts w:ascii="Times New Roman" w:eastAsia="Calibri" w:hAnsi="Times New Roman" w:cs="Times New Roman"/>
          <w:sz w:val="24"/>
          <w:szCs w:val="24"/>
          <w:lang w:val="cs-CZ"/>
        </w:rPr>
        <w:t>o</w:t>
      </w:r>
      <w:r w:rsidR="00C6079D" w:rsidRPr="00CF5B13">
        <w:rPr>
          <w:rFonts w:ascii="Times New Roman" w:eastAsia="Calibri" w:hAnsi="Times New Roman" w:cs="Times New Roman"/>
          <w:sz w:val="24"/>
          <w:szCs w:val="24"/>
          <w:lang w:val="cs-CZ"/>
        </w:rPr>
        <w:t> </w:t>
      </w:r>
      <w:r w:rsidRPr="00CF5B13">
        <w:rPr>
          <w:rFonts w:ascii="Times New Roman" w:eastAsia="Calibri" w:hAnsi="Times New Roman" w:cs="Times New Roman"/>
          <w:sz w:val="24"/>
          <w:szCs w:val="24"/>
          <w:lang w:val="cs-CZ"/>
        </w:rPr>
        <w:t>ženách, míru a bezpečnosti a souvisejících rezolucích na léta 2021-2025 (</w:t>
      </w:r>
      <w:r w:rsidR="00B75FEF">
        <w:rPr>
          <w:rFonts w:ascii="Times New Roman" w:eastAsia="Calibri" w:hAnsi="Times New Roman" w:cs="Times New Roman"/>
          <w:sz w:val="24"/>
          <w:szCs w:val="24"/>
          <w:lang w:val="cs-CZ"/>
        </w:rPr>
        <w:t>d</w:t>
      </w:r>
      <w:r w:rsidRPr="00CF5B13">
        <w:rPr>
          <w:rFonts w:ascii="Times New Roman" w:eastAsia="Calibri" w:hAnsi="Times New Roman" w:cs="Times New Roman"/>
          <w:sz w:val="24"/>
          <w:szCs w:val="24"/>
          <w:lang w:val="cs-CZ"/>
        </w:rPr>
        <w:t>ále jen „NAP“). Tímto usnesením bylo ministrům zahraničních věcí, obrany, spravedlnosti a vnitra a Úřadu vlády uloženo plnění tohoto NAP a jednou ročně o tomto informovat Radu</w:t>
      </w:r>
      <w:r w:rsidR="00FF1863" w:rsidRPr="00CF5B13">
        <w:rPr>
          <w:rFonts w:ascii="Times New Roman" w:eastAsia="Calibri" w:hAnsi="Times New Roman" w:cs="Times New Roman"/>
          <w:sz w:val="24"/>
          <w:szCs w:val="24"/>
          <w:lang w:val="cs-CZ"/>
        </w:rPr>
        <w:t xml:space="preserve"> vlády pro rovnost žen a mužů. </w:t>
      </w:r>
      <w:r w:rsidRPr="00CF5B13">
        <w:rPr>
          <w:rFonts w:ascii="Times New Roman" w:eastAsia="Calibri" w:hAnsi="Times New Roman" w:cs="Times New Roman"/>
          <w:sz w:val="24"/>
          <w:szCs w:val="24"/>
          <w:lang w:val="cs-CZ"/>
        </w:rPr>
        <w:t>NAP</w:t>
      </w:r>
      <w:r w:rsidRPr="00CF5B13">
        <w:rPr>
          <w:rFonts w:ascii="Times New Roman" w:eastAsia="Calibri" w:hAnsi="Times New Roman" w:cs="Times New Roman"/>
          <w:bCs/>
          <w:kern w:val="32"/>
          <w:sz w:val="24"/>
          <w:szCs w:val="24"/>
          <w:lang w:val="cs-CZ"/>
        </w:rPr>
        <w:t xml:space="preserve"> vytváří rámec, který stanovuje konkrétní opatření vedoucí k naplňování předmětných rezolucí Rady bezpečnosti OSN Českou republikou. </w:t>
      </w:r>
      <w:r w:rsidR="000860AE" w:rsidRPr="00CF5B13">
        <w:rPr>
          <w:rFonts w:ascii="Times New Roman" w:eastAsia="Calibri" w:hAnsi="Times New Roman" w:cs="Times New Roman"/>
          <w:sz w:val="24"/>
          <w:szCs w:val="24"/>
          <w:lang w:val="cs-CZ"/>
        </w:rPr>
        <w:t>ČR je jedním z</w:t>
      </w:r>
      <w:r w:rsidR="00170078" w:rsidRPr="00CF5B13">
        <w:rPr>
          <w:rFonts w:ascii="Times New Roman" w:eastAsia="Calibri" w:hAnsi="Times New Roman" w:cs="Times New Roman"/>
          <w:sz w:val="24"/>
          <w:szCs w:val="24"/>
          <w:lang w:val="cs-CZ"/>
        </w:rPr>
        <w:t xml:space="preserve">e 104 členských </w:t>
      </w:r>
      <w:r w:rsidR="002A7ACA" w:rsidRPr="00CF5B13">
        <w:rPr>
          <w:rFonts w:ascii="Times New Roman" w:eastAsia="Calibri" w:hAnsi="Times New Roman" w:cs="Times New Roman"/>
          <w:sz w:val="24"/>
          <w:szCs w:val="24"/>
          <w:lang w:val="cs-CZ"/>
        </w:rPr>
        <w:t>států</w:t>
      </w:r>
      <w:r w:rsidR="00170078" w:rsidRPr="00CF5B13">
        <w:rPr>
          <w:rFonts w:ascii="Times New Roman" w:eastAsia="Calibri" w:hAnsi="Times New Roman" w:cs="Times New Roman"/>
          <w:sz w:val="24"/>
          <w:szCs w:val="24"/>
          <w:lang w:val="cs-CZ"/>
        </w:rPr>
        <w:t xml:space="preserve"> OSN</w:t>
      </w:r>
      <w:r w:rsidR="002A7ACA" w:rsidRPr="00CF5B13">
        <w:rPr>
          <w:rFonts w:ascii="Times New Roman" w:eastAsia="Calibri" w:hAnsi="Times New Roman" w:cs="Times New Roman"/>
          <w:sz w:val="24"/>
          <w:szCs w:val="24"/>
          <w:lang w:val="cs-CZ"/>
        </w:rPr>
        <w:t>, který má svůj</w:t>
      </w:r>
      <w:r w:rsidRPr="00CF5B13">
        <w:rPr>
          <w:rFonts w:ascii="Times New Roman" w:eastAsia="Calibri" w:hAnsi="Times New Roman" w:cs="Times New Roman"/>
          <w:sz w:val="24"/>
          <w:szCs w:val="24"/>
          <w:lang w:val="cs-CZ"/>
        </w:rPr>
        <w:t xml:space="preserve"> NAP k Agendě </w:t>
      </w:r>
      <w:r w:rsidR="000860AE" w:rsidRPr="00CF5B13">
        <w:rPr>
          <w:rFonts w:ascii="Times New Roman" w:eastAsia="Calibri" w:hAnsi="Times New Roman" w:cs="Times New Roman"/>
          <w:sz w:val="24"/>
          <w:szCs w:val="24"/>
          <w:lang w:val="cs-CZ"/>
        </w:rPr>
        <w:t>žen</w:t>
      </w:r>
      <w:r w:rsidR="00C6079D" w:rsidRPr="00CF5B13">
        <w:rPr>
          <w:rFonts w:ascii="Times New Roman" w:eastAsia="Calibri" w:hAnsi="Times New Roman" w:cs="Times New Roman"/>
          <w:sz w:val="24"/>
          <w:szCs w:val="24"/>
          <w:lang w:val="cs-CZ"/>
        </w:rPr>
        <w:t>y, mír a bezpečnost (dále jen „A</w:t>
      </w:r>
      <w:r w:rsidR="000860AE" w:rsidRPr="00CF5B13">
        <w:rPr>
          <w:rFonts w:ascii="Times New Roman" w:eastAsia="Calibri" w:hAnsi="Times New Roman" w:cs="Times New Roman"/>
          <w:sz w:val="24"/>
          <w:szCs w:val="24"/>
          <w:lang w:val="cs-CZ"/>
        </w:rPr>
        <w:t>genda WPS“)</w:t>
      </w:r>
      <w:r w:rsidRPr="00CF5B13">
        <w:rPr>
          <w:rFonts w:ascii="Times New Roman" w:eastAsia="Calibri" w:hAnsi="Times New Roman" w:cs="Times New Roman"/>
          <w:sz w:val="24"/>
          <w:szCs w:val="24"/>
          <w:lang w:val="cs-CZ"/>
        </w:rPr>
        <w:t>.</w:t>
      </w:r>
      <w:r w:rsidRPr="00CF5B13">
        <w:rPr>
          <w:rFonts w:ascii="Times New Roman" w:eastAsia="Calibri" w:hAnsi="Times New Roman" w:cs="Times New Roman"/>
          <w:sz w:val="24"/>
          <w:szCs w:val="24"/>
          <w:vertAlign w:val="superscript"/>
          <w:lang w:val="cs-CZ"/>
        </w:rPr>
        <w:t xml:space="preserve"> </w:t>
      </w:r>
      <w:r w:rsidRPr="00CF5B13">
        <w:rPr>
          <w:rFonts w:ascii="Times New Roman" w:eastAsia="Calibri" w:hAnsi="Times New Roman" w:cs="Times New Roman"/>
          <w:sz w:val="24"/>
          <w:szCs w:val="24"/>
          <w:vertAlign w:val="superscript"/>
          <w:lang w:val="cs-CZ"/>
        </w:rPr>
        <w:footnoteReference w:id="1"/>
      </w:r>
      <w:r w:rsidRPr="00CF5B13">
        <w:rPr>
          <w:rFonts w:ascii="Times New Roman" w:eastAsia="Calibri" w:hAnsi="Times New Roman" w:cs="Times New Roman"/>
          <w:sz w:val="24"/>
          <w:szCs w:val="24"/>
          <w:lang w:val="cs-CZ"/>
        </w:rPr>
        <w:t xml:space="preserve"> </w:t>
      </w:r>
    </w:p>
    <w:p w:rsidR="00CC6447" w:rsidRPr="00CF5B13" w:rsidRDefault="0011719C" w:rsidP="00CC6447">
      <w:pPr>
        <w:snapToGrid w:val="0"/>
        <w:spacing w:before="120" w:after="120" w:line="276" w:lineRule="auto"/>
        <w:jc w:val="both"/>
        <w:rPr>
          <w:rFonts w:ascii="Times New Roman" w:eastAsia="Calibri" w:hAnsi="Times New Roman" w:cs="Times New Roman"/>
          <w:sz w:val="24"/>
          <w:szCs w:val="24"/>
          <w:lang w:val="cs-CZ"/>
        </w:rPr>
      </w:pPr>
      <w:r w:rsidRPr="00CF5B13">
        <w:rPr>
          <w:rFonts w:ascii="Times New Roman" w:eastAsia="Calibri" w:hAnsi="Times New Roman" w:cs="Times New Roman"/>
          <w:sz w:val="24"/>
          <w:szCs w:val="24"/>
          <w:lang w:val="cs-CZ"/>
        </w:rPr>
        <w:t xml:space="preserve">Přijetím </w:t>
      </w:r>
      <w:r w:rsidR="00CC6447" w:rsidRPr="00CF5B13">
        <w:rPr>
          <w:rFonts w:ascii="Times New Roman" w:eastAsia="Calibri" w:hAnsi="Times New Roman" w:cs="Times New Roman"/>
          <w:sz w:val="24"/>
          <w:szCs w:val="24"/>
          <w:lang w:val="cs-CZ"/>
        </w:rPr>
        <w:t xml:space="preserve">druhého </w:t>
      </w:r>
      <w:r w:rsidR="000860AE" w:rsidRPr="00CF5B13">
        <w:rPr>
          <w:rFonts w:ascii="Times New Roman" w:eastAsia="Calibri" w:hAnsi="Times New Roman" w:cs="Times New Roman"/>
          <w:sz w:val="24"/>
          <w:szCs w:val="24"/>
          <w:lang w:val="cs-CZ"/>
        </w:rPr>
        <w:t>N</w:t>
      </w:r>
      <w:r w:rsidRPr="00CF5B13">
        <w:rPr>
          <w:rFonts w:ascii="Times New Roman" w:eastAsia="Calibri" w:hAnsi="Times New Roman" w:cs="Times New Roman"/>
          <w:sz w:val="24"/>
          <w:szCs w:val="24"/>
          <w:lang w:val="cs-CZ"/>
        </w:rPr>
        <w:t xml:space="preserve">AP k Agendě WPS si </w:t>
      </w:r>
      <w:r w:rsidR="00B42ADD" w:rsidRPr="00CF5B13">
        <w:rPr>
          <w:rFonts w:ascii="Times New Roman" w:eastAsia="Calibri" w:hAnsi="Times New Roman" w:cs="Times New Roman"/>
          <w:sz w:val="24"/>
          <w:szCs w:val="24"/>
          <w:lang w:val="cs-CZ"/>
        </w:rPr>
        <w:t>Česká republika definovala</w:t>
      </w:r>
      <w:r w:rsidR="00CC6447" w:rsidRPr="00CF5B13">
        <w:rPr>
          <w:rFonts w:ascii="Times New Roman" w:eastAsia="Calibri" w:hAnsi="Times New Roman" w:cs="Times New Roman"/>
          <w:sz w:val="24"/>
          <w:szCs w:val="24"/>
          <w:lang w:val="cs-CZ"/>
        </w:rPr>
        <w:t xml:space="preserve"> </w:t>
      </w:r>
      <w:r w:rsidR="00A917CE" w:rsidRPr="00CF5B13">
        <w:rPr>
          <w:rFonts w:ascii="Times New Roman" w:eastAsia="Calibri" w:hAnsi="Times New Roman" w:cs="Times New Roman"/>
          <w:sz w:val="24"/>
          <w:szCs w:val="24"/>
          <w:lang w:val="cs-CZ"/>
        </w:rPr>
        <w:t>čtyři základní strategické cíle</w:t>
      </w:r>
      <w:r w:rsidR="00B42ADD" w:rsidRPr="00CF5B13">
        <w:rPr>
          <w:rFonts w:ascii="Times New Roman" w:eastAsia="Calibri" w:hAnsi="Times New Roman" w:cs="Times New Roman"/>
          <w:sz w:val="24"/>
          <w:szCs w:val="24"/>
          <w:lang w:val="cs-CZ"/>
        </w:rPr>
        <w:t xml:space="preserve">, které </w:t>
      </w:r>
      <w:r w:rsidR="00B42ADD" w:rsidRPr="00CF5B13">
        <w:rPr>
          <w:rFonts w:ascii="Times New Roman" w:hAnsi="Times New Roman" w:cs="Times New Roman"/>
          <w:sz w:val="24"/>
          <w:szCs w:val="24"/>
          <w:lang w:val="cs-CZ"/>
        </w:rPr>
        <w:t>v zásadě kopírují z</w:t>
      </w:r>
      <w:r w:rsidR="00C6079D" w:rsidRPr="00CF5B13">
        <w:rPr>
          <w:rFonts w:ascii="Times New Roman" w:hAnsi="Times New Roman" w:cs="Times New Roman"/>
          <w:sz w:val="24"/>
          <w:szCs w:val="24"/>
          <w:lang w:val="cs-CZ"/>
        </w:rPr>
        <w:t>ákladní pilíře A</w:t>
      </w:r>
      <w:r w:rsidR="00B42ADD" w:rsidRPr="00CF5B13">
        <w:rPr>
          <w:rFonts w:ascii="Times New Roman" w:hAnsi="Times New Roman" w:cs="Times New Roman"/>
          <w:sz w:val="24"/>
          <w:szCs w:val="24"/>
          <w:lang w:val="cs-CZ"/>
        </w:rPr>
        <w:t>gendy WPS (participace, ochrana, prevence a</w:t>
      </w:r>
      <w:r w:rsidR="00C6079D" w:rsidRPr="00CF5B13">
        <w:rPr>
          <w:rFonts w:ascii="Times New Roman" w:hAnsi="Times New Roman" w:cs="Times New Roman"/>
          <w:sz w:val="24"/>
          <w:szCs w:val="24"/>
          <w:lang w:val="cs-CZ"/>
        </w:rPr>
        <w:t> </w:t>
      </w:r>
      <w:r w:rsidR="00B42ADD" w:rsidRPr="00CF5B13">
        <w:rPr>
          <w:rFonts w:ascii="Times New Roman" w:hAnsi="Times New Roman" w:cs="Times New Roman"/>
          <w:sz w:val="24"/>
          <w:szCs w:val="24"/>
          <w:lang w:val="cs-CZ"/>
        </w:rPr>
        <w:t>asistence a obnova.); jsou propojené a vzájemně se ovlivňují:</w:t>
      </w:r>
    </w:p>
    <w:p w:rsidR="00CC6447" w:rsidRPr="00CF5B13" w:rsidRDefault="00CC6447" w:rsidP="003C620E">
      <w:pPr>
        <w:pStyle w:val="Odstavecseseznamem"/>
        <w:numPr>
          <w:ilvl w:val="1"/>
          <w:numId w:val="7"/>
        </w:numPr>
        <w:spacing w:after="200" w:line="276" w:lineRule="auto"/>
        <w:jc w:val="both"/>
        <w:rPr>
          <w:rFonts w:ascii="Times New Roman" w:hAnsi="Times New Roman" w:cs="Times New Roman"/>
          <w:b/>
          <w:sz w:val="24"/>
          <w:szCs w:val="24"/>
          <w:lang w:val="cs-CZ"/>
        </w:rPr>
      </w:pPr>
      <w:r w:rsidRPr="00CF5B13">
        <w:rPr>
          <w:rFonts w:ascii="Times New Roman" w:hAnsi="Times New Roman" w:cs="Times New Roman"/>
          <w:b/>
          <w:sz w:val="24"/>
          <w:szCs w:val="24"/>
          <w:lang w:val="cs-CZ"/>
        </w:rPr>
        <w:t>Posilovat participaci a vůdčí roli žen ve všech oblastech spojených s mírem a</w:t>
      </w:r>
      <w:r w:rsidR="00C6079D" w:rsidRPr="00CF5B13">
        <w:rPr>
          <w:rFonts w:ascii="Times New Roman" w:hAnsi="Times New Roman" w:cs="Times New Roman"/>
          <w:b/>
          <w:sz w:val="24"/>
          <w:szCs w:val="24"/>
          <w:lang w:val="cs-CZ"/>
        </w:rPr>
        <w:t> </w:t>
      </w:r>
      <w:r w:rsidRPr="00CF5B13">
        <w:rPr>
          <w:rFonts w:ascii="Times New Roman" w:hAnsi="Times New Roman" w:cs="Times New Roman"/>
          <w:b/>
          <w:sz w:val="24"/>
          <w:szCs w:val="24"/>
          <w:lang w:val="cs-CZ"/>
        </w:rPr>
        <w:t>bezpečností;</w:t>
      </w:r>
    </w:p>
    <w:p w:rsidR="00CC6447" w:rsidRPr="00CF5B13" w:rsidRDefault="00CC6447" w:rsidP="003C620E">
      <w:pPr>
        <w:pStyle w:val="Odstavecseseznamem"/>
        <w:numPr>
          <w:ilvl w:val="1"/>
          <w:numId w:val="7"/>
        </w:numPr>
        <w:spacing w:after="200" w:line="276" w:lineRule="auto"/>
        <w:jc w:val="both"/>
        <w:rPr>
          <w:rFonts w:ascii="Times New Roman" w:hAnsi="Times New Roman" w:cs="Times New Roman"/>
          <w:b/>
          <w:sz w:val="24"/>
          <w:szCs w:val="24"/>
          <w:lang w:val="cs-CZ"/>
        </w:rPr>
      </w:pPr>
      <w:r w:rsidRPr="00CF5B13">
        <w:rPr>
          <w:rFonts w:ascii="Times New Roman" w:hAnsi="Times New Roman" w:cs="Times New Roman"/>
          <w:b/>
          <w:sz w:val="24"/>
          <w:szCs w:val="24"/>
          <w:lang w:val="cs-CZ"/>
        </w:rPr>
        <w:t>Systematicky posilovat začlenění genderové problematiky do všech oblastí souvisejících s mírem a bezpečností;</w:t>
      </w:r>
    </w:p>
    <w:p w:rsidR="00CC6447" w:rsidRPr="00CF5B13" w:rsidRDefault="00CC6447" w:rsidP="003C620E">
      <w:pPr>
        <w:pStyle w:val="Odstavecseseznamem"/>
        <w:numPr>
          <w:ilvl w:val="1"/>
          <w:numId w:val="7"/>
        </w:numPr>
        <w:spacing w:after="200" w:line="276" w:lineRule="auto"/>
        <w:jc w:val="both"/>
        <w:rPr>
          <w:rFonts w:ascii="Times New Roman" w:hAnsi="Times New Roman" w:cs="Times New Roman"/>
          <w:b/>
          <w:sz w:val="24"/>
          <w:szCs w:val="24"/>
          <w:lang w:val="cs-CZ"/>
        </w:rPr>
      </w:pPr>
      <w:r w:rsidRPr="00CF5B13">
        <w:rPr>
          <w:rFonts w:ascii="Times New Roman" w:hAnsi="Times New Roman" w:cs="Times New Roman"/>
          <w:b/>
          <w:sz w:val="24"/>
          <w:szCs w:val="24"/>
          <w:lang w:val="cs-CZ"/>
        </w:rPr>
        <w:t>Aktivně se podílet na posilování prevence konfliktů skrze podporu práv žen a</w:t>
      </w:r>
      <w:r w:rsidR="00C6079D" w:rsidRPr="00CF5B13">
        <w:rPr>
          <w:rFonts w:ascii="Times New Roman" w:hAnsi="Times New Roman" w:cs="Times New Roman"/>
          <w:b/>
          <w:sz w:val="24"/>
          <w:szCs w:val="24"/>
          <w:lang w:val="cs-CZ"/>
        </w:rPr>
        <w:t> </w:t>
      </w:r>
      <w:r w:rsidRPr="00CF5B13">
        <w:rPr>
          <w:rFonts w:ascii="Times New Roman" w:hAnsi="Times New Roman" w:cs="Times New Roman"/>
          <w:b/>
          <w:sz w:val="24"/>
          <w:szCs w:val="24"/>
          <w:lang w:val="cs-CZ"/>
        </w:rPr>
        <w:t>genderové rovnosti;</w:t>
      </w:r>
    </w:p>
    <w:p w:rsidR="00CC6447" w:rsidRPr="00CF5B13" w:rsidRDefault="00CC6447" w:rsidP="003C620E">
      <w:pPr>
        <w:pStyle w:val="Odstavecseseznamem"/>
        <w:numPr>
          <w:ilvl w:val="1"/>
          <w:numId w:val="7"/>
        </w:numPr>
        <w:spacing w:after="200" w:line="276" w:lineRule="auto"/>
        <w:jc w:val="both"/>
        <w:rPr>
          <w:rFonts w:ascii="Times New Roman" w:hAnsi="Times New Roman" w:cs="Times New Roman"/>
          <w:b/>
          <w:sz w:val="24"/>
          <w:szCs w:val="24"/>
          <w:lang w:val="cs-CZ"/>
        </w:rPr>
      </w:pPr>
      <w:r w:rsidRPr="00CF5B13">
        <w:rPr>
          <w:rFonts w:ascii="Times New Roman" w:hAnsi="Times New Roman" w:cs="Times New Roman"/>
          <w:b/>
          <w:sz w:val="24"/>
          <w:szCs w:val="24"/>
          <w:lang w:val="cs-CZ"/>
        </w:rPr>
        <w:t>Poskytovat a podporovat adekvátní rozvojovou a transformační spolupráci a</w:t>
      </w:r>
      <w:r w:rsidR="00C6079D" w:rsidRPr="00CF5B13">
        <w:rPr>
          <w:rFonts w:ascii="Times New Roman" w:hAnsi="Times New Roman" w:cs="Times New Roman"/>
          <w:b/>
          <w:sz w:val="24"/>
          <w:szCs w:val="24"/>
          <w:lang w:val="cs-CZ"/>
        </w:rPr>
        <w:t> </w:t>
      </w:r>
      <w:r w:rsidR="00FF1863" w:rsidRPr="00CF5B13">
        <w:rPr>
          <w:rFonts w:ascii="Times New Roman" w:hAnsi="Times New Roman" w:cs="Times New Roman"/>
          <w:b/>
          <w:sz w:val="24"/>
          <w:szCs w:val="24"/>
          <w:lang w:val="cs-CZ"/>
        </w:rPr>
        <w:t>humanitární pomoc, které směřují</w:t>
      </w:r>
      <w:r w:rsidRPr="00CF5B13">
        <w:rPr>
          <w:rFonts w:ascii="Times New Roman" w:hAnsi="Times New Roman" w:cs="Times New Roman"/>
          <w:b/>
          <w:sz w:val="24"/>
          <w:szCs w:val="24"/>
          <w:lang w:val="cs-CZ"/>
        </w:rPr>
        <w:t xml:space="preserve"> na potřeby žen a dívek.</w:t>
      </w:r>
    </w:p>
    <w:p w:rsidR="004A36A8" w:rsidRPr="00CF5B13" w:rsidRDefault="00B42ADD" w:rsidP="002A7ACA">
      <w:pPr>
        <w:snapToGrid w:val="0"/>
        <w:spacing w:before="120" w:after="120" w:line="276" w:lineRule="auto"/>
        <w:jc w:val="both"/>
        <w:rPr>
          <w:rFonts w:ascii="Times New Roman" w:hAnsi="Times New Roman" w:cs="Times New Roman"/>
          <w:sz w:val="24"/>
          <w:szCs w:val="24"/>
          <w:lang w:val="cs-CZ"/>
        </w:rPr>
      </w:pPr>
      <w:r w:rsidRPr="00CF5B13">
        <w:rPr>
          <w:rFonts w:ascii="Times New Roman" w:eastAsia="Calibri" w:hAnsi="Times New Roman" w:cs="Times New Roman"/>
          <w:sz w:val="24"/>
          <w:szCs w:val="24"/>
          <w:lang w:val="cs-CZ"/>
        </w:rPr>
        <w:t>Ke strate</w:t>
      </w:r>
      <w:r w:rsidR="002A7ACA" w:rsidRPr="00CF5B13">
        <w:rPr>
          <w:rFonts w:ascii="Times New Roman" w:eastAsia="Calibri" w:hAnsi="Times New Roman" w:cs="Times New Roman"/>
          <w:sz w:val="24"/>
          <w:szCs w:val="24"/>
          <w:lang w:val="cs-CZ"/>
        </w:rPr>
        <w:t>gickým cílům pak byla přiřazena</w:t>
      </w:r>
      <w:r w:rsidRPr="00CF5B13">
        <w:rPr>
          <w:rFonts w:ascii="Times New Roman" w:eastAsia="Calibri" w:hAnsi="Times New Roman" w:cs="Times New Roman"/>
          <w:sz w:val="24"/>
          <w:szCs w:val="24"/>
          <w:lang w:val="cs-CZ"/>
        </w:rPr>
        <w:t xml:space="preserve"> specifická, měřitelná opatření</w:t>
      </w:r>
      <w:r w:rsidR="004A36A8" w:rsidRPr="00CF5B13">
        <w:rPr>
          <w:rFonts w:ascii="Times New Roman" w:hAnsi="Times New Roman" w:cs="Times New Roman"/>
          <w:sz w:val="24"/>
          <w:szCs w:val="24"/>
          <w:lang w:val="cs-CZ"/>
        </w:rPr>
        <w:t>, relevantní vůči jednotlivým strategickým cílům. Tato metodologie má za cíl zjednodušit a zpřehlednit každoroční vyhodnocování implementace N</w:t>
      </w:r>
      <w:r w:rsidR="00FF1863" w:rsidRPr="00CF5B13">
        <w:rPr>
          <w:rFonts w:ascii="Times New Roman" w:hAnsi="Times New Roman" w:cs="Times New Roman"/>
          <w:sz w:val="24"/>
          <w:szCs w:val="24"/>
          <w:lang w:val="cs-CZ"/>
        </w:rPr>
        <w:t>AP</w:t>
      </w:r>
      <w:r w:rsidR="004A36A8" w:rsidRPr="00CF5B13">
        <w:rPr>
          <w:rFonts w:ascii="Times New Roman" w:hAnsi="Times New Roman" w:cs="Times New Roman"/>
          <w:sz w:val="24"/>
          <w:szCs w:val="24"/>
          <w:lang w:val="cs-CZ"/>
        </w:rPr>
        <w:t xml:space="preserve">. </w:t>
      </w:r>
      <w:r w:rsidR="0011719C" w:rsidRPr="00CF5B13">
        <w:rPr>
          <w:rFonts w:ascii="Times New Roman" w:eastAsia="Calibri" w:hAnsi="Times New Roman" w:cs="Times New Roman"/>
          <w:sz w:val="24"/>
          <w:szCs w:val="24"/>
          <w:lang w:val="cs-CZ"/>
        </w:rPr>
        <w:t>Platformou pro monitoring a výměnu informací k Agendě WPS se stala mezi</w:t>
      </w:r>
      <w:r w:rsidR="00047ED7" w:rsidRPr="00CF5B13">
        <w:rPr>
          <w:rFonts w:ascii="Times New Roman" w:eastAsia="Calibri" w:hAnsi="Times New Roman" w:cs="Times New Roman"/>
          <w:sz w:val="24"/>
          <w:szCs w:val="24"/>
          <w:lang w:val="cs-CZ"/>
        </w:rPr>
        <w:t>resort</w:t>
      </w:r>
      <w:r w:rsidR="0011719C" w:rsidRPr="00CF5B13">
        <w:rPr>
          <w:rFonts w:ascii="Times New Roman" w:eastAsia="Calibri" w:hAnsi="Times New Roman" w:cs="Times New Roman"/>
          <w:sz w:val="24"/>
          <w:szCs w:val="24"/>
          <w:lang w:val="cs-CZ"/>
        </w:rPr>
        <w:t xml:space="preserve">ní pracovní skupina, </w:t>
      </w:r>
      <w:r w:rsidR="002A7ACA" w:rsidRPr="00CF5B13">
        <w:rPr>
          <w:rFonts w:ascii="Times New Roman" w:hAnsi="Times New Roman" w:cs="Times New Roman"/>
          <w:sz w:val="24"/>
          <w:szCs w:val="24"/>
          <w:lang w:val="cs-CZ"/>
        </w:rPr>
        <w:t xml:space="preserve">která byla ustavena </w:t>
      </w:r>
      <w:r w:rsidR="003616F7" w:rsidRPr="00CF5B13">
        <w:rPr>
          <w:rFonts w:ascii="Times New Roman" w:hAnsi="Times New Roman" w:cs="Times New Roman"/>
          <w:sz w:val="24"/>
          <w:szCs w:val="24"/>
          <w:lang w:val="cs-CZ"/>
        </w:rPr>
        <w:t xml:space="preserve">v roce 2021 </w:t>
      </w:r>
      <w:r w:rsidR="002A7ACA" w:rsidRPr="00CF5B13">
        <w:rPr>
          <w:rFonts w:ascii="Times New Roman" w:hAnsi="Times New Roman" w:cs="Times New Roman"/>
          <w:sz w:val="24"/>
          <w:szCs w:val="24"/>
          <w:lang w:val="cs-CZ"/>
        </w:rPr>
        <w:t xml:space="preserve">a které předsedá Ministerstvo zahraničních věcí. </w:t>
      </w:r>
      <w:r w:rsidR="002A7ACA" w:rsidRPr="00CF5B13">
        <w:rPr>
          <w:rFonts w:ascii="Times New Roman" w:eastAsia="Calibri" w:hAnsi="Times New Roman" w:cs="Times New Roman"/>
          <w:sz w:val="24"/>
          <w:szCs w:val="24"/>
          <w:lang w:val="cs-CZ"/>
        </w:rPr>
        <w:t xml:space="preserve">Skupina </w:t>
      </w:r>
      <w:r w:rsidR="0011719C" w:rsidRPr="00CF5B13">
        <w:rPr>
          <w:rFonts w:ascii="Times New Roman" w:eastAsia="Calibri" w:hAnsi="Times New Roman" w:cs="Times New Roman"/>
          <w:sz w:val="24"/>
          <w:szCs w:val="24"/>
          <w:lang w:val="cs-CZ"/>
        </w:rPr>
        <w:t xml:space="preserve">sdružuje zástupce a zástupkyně </w:t>
      </w:r>
      <w:r w:rsidR="00C6079D" w:rsidRPr="00CF5B13">
        <w:rPr>
          <w:rFonts w:ascii="Times New Roman" w:eastAsia="Calibri" w:hAnsi="Times New Roman" w:cs="Times New Roman"/>
          <w:sz w:val="24"/>
          <w:szCs w:val="24"/>
          <w:lang w:val="cs-CZ"/>
        </w:rPr>
        <w:t xml:space="preserve">relevantních </w:t>
      </w:r>
      <w:r w:rsidR="0011719C" w:rsidRPr="00CF5B13">
        <w:rPr>
          <w:rFonts w:ascii="Times New Roman" w:eastAsia="Calibri" w:hAnsi="Times New Roman" w:cs="Times New Roman"/>
          <w:sz w:val="24"/>
          <w:szCs w:val="24"/>
          <w:lang w:val="cs-CZ"/>
        </w:rPr>
        <w:t>ministerstev,</w:t>
      </w:r>
      <w:r w:rsidR="00FF1863" w:rsidRPr="00CF5B13">
        <w:rPr>
          <w:rFonts w:ascii="Times New Roman" w:eastAsia="Calibri" w:hAnsi="Times New Roman" w:cs="Times New Roman"/>
          <w:sz w:val="24"/>
          <w:szCs w:val="24"/>
          <w:lang w:val="cs-CZ"/>
        </w:rPr>
        <w:t xml:space="preserve"> Ú</w:t>
      </w:r>
      <w:r w:rsidR="002A7ACA" w:rsidRPr="00CF5B13">
        <w:rPr>
          <w:rFonts w:ascii="Times New Roman" w:eastAsia="Calibri" w:hAnsi="Times New Roman" w:cs="Times New Roman"/>
          <w:sz w:val="24"/>
          <w:szCs w:val="24"/>
          <w:lang w:val="cs-CZ"/>
        </w:rPr>
        <w:t>řadu vlády,</w:t>
      </w:r>
      <w:r w:rsidR="0011719C" w:rsidRPr="00CF5B13">
        <w:rPr>
          <w:rFonts w:ascii="Times New Roman" w:eastAsia="Calibri" w:hAnsi="Times New Roman" w:cs="Times New Roman"/>
          <w:sz w:val="24"/>
          <w:szCs w:val="24"/>
          <w:lang w:val="cs-CZ"/>
        </w:rPr>
        <w:t xml:space="preserve"> nevládních organiz</w:t>
      </w:r>
      <w:r w:rsidR="00C6079D" w:rsidRPr="00CF5B13">
        <w:rPr>
          <w:rFonts w:ascii="Times New Roman" w:eastAsia="Calibri" w:hAnsi="Times New Roman" w:cs="Times New Roman"/>
          <w:sz w:val="24"/>
          <w:szCs w:val="24"/>
          <w:lang w:val="cs-CZ"/>
        </w:rPr>
        <w:t>ací a akademické sféry</w:t>
      </w:r>
      <w:r w:rsidR="00AB4AA4" w:rsidRPr="00CF5B13">
        <w:rPr>
          <w:rFonts w:ascii="Times New Roman" w:eastAsia="Calibri" w:hAnsi="Times New Roman" w:cs="Times New Roman"/>
          <w:sz w:val="24"/>
          <w:szCs w:val="24"/>
          <w:lang w:val="cs-CZ"/>
        </w:rPr>
        <w:t xml:space="preserve"> a j</w:t>
      </w:r>
      <w:r w:rsidR="00C6079D" w:rsidRPr="00CF5B13">
        <w:rPr>
          <w:rFonts w:ascii="Times New Roman" w:eastAsia="Calibri" w:hAnsi="Times New Roman" w:cs="Times New Roman"/>
          <w:sz w:val="24"/>
          <w:szCs w:val="24"/>
          <w:lang w:val="cs-CZ"/>
        </w:rPr>
        <w:t>ejí činnost je svázána s </w:t>
      </w:r>
      <w:r w:rsidR="0011719C" w:rsidRPr="00CF5B13">
        <w:rPr>
          <w:rFonts w:ascii="Times New Roman" w:eastAsia="Calibri" w:hAnsi="Times New Roman" w:cs="Times New Roman"/>
          <w:sz w:val="24"/>
          <w:szCs w:val="24"/>
          <w:lang w:val="cs-CZ"/>
        </w:rPr>
        <w:t>činností Rady</w:t>
      </w:r>
      <w:r w:rsidR="004A36A8" w:rsidRPr="00CF5B13">
        <w:rPr>
          <w:rFonts w:ascii="Times New Roman" w:eastAsia="Calibri" w:hAnsi="Times New Roman" w:cs="Times New Roman"/>
          <w:sz w:val="24"/>
          <w:szCs w:val="24"/>
          <w:lang w:val="cs-CZ"/>
        </w:rPr>
        <w:t xml:space="preserve"> vlády pro rovnost žen a mužů. </w:t>
      </w:r>
      <w:r w:rsidR="00C6079D" w:rsidRPr="00CF5B13">
        <w:rPr>
          <w:rFonts w:ascii="Times New Roman" w:eastAsia="Calibri" w:hAnsi="Times New Roman" w:cs="Times New Roman"/>
          <w:sz w:val="24"/>
          <w:szCs w:val="24"/>
          <w:lang w:val="cs-CZ"/>
        </w:rPr>
        <w:t>Hlavním úkolem</w:t>
      </w:r>
      <w:r w:rsidR="002A7ACA" w:rsidRPr="00CF5B13">
        <w:rPr>
          <w:rFonts w:ascii="Times New Roman" w:eastAsia="Calibri" w:hAnsi="Times New Roman" w:cs="Times New Roman"/>
          <w:sz w:val="24"/>
          <w:szCs w:val="24"/>
          <w:lang w:val="cs-CZ"/>
        </w:rPr>
        <w:t xml:space="preserve"> </w:t>
      </w:r>
      <w:r w:rsidR="00C6079D" w:rsidRPr="00CF5B13">
        <w:rPr>
          <w:rFonts w:ascii="Times New Roman" w:eastAsia="Calibri" w:hAnsi="Times New Roman" w:cs="Times New Roman"/>
          <w:sz w:val="24"/>
          <w:szCs w:val="24"/>
          <w:lang w:val="cs-CZ"/>
        </w:rPr>
        <w:t xml:space="preserve">pracovní skupiny </w:t>
      </w:r>
      <w:r w:rsidR="002A7ACA" w:rsidRPr="00CF5B13">
        <w:rPr>
          <w:rFonts w:ascii="Times New Roman" w:eastAsia="Calibri" w:hAnsi="Times New Roman" w:cs="Times New Roman"/>
          <w:sz w:val="24"/>
          <w:szCs w:val="24"/>
          <w:lang w:val="cs-CZ"/>
        </w:rPr>
        <w:t>je m</w:t>
      </w:r>
      <w:r w:rsidR="004A36A8" w:rsidRPr="00CF5B13">
        <w:rPr>
          <w:rFonts w:ascii="Times New Roman" w:hAnsi="Times New Roman" w:cs="Times New Roman"/>
          <w:sz w:val="24"/>
          <w:szCs w:val="24"/>
          <w:lang w:val="cs-CZ"/>
        </w:rPr>
        <w:t>onito</w:t>
      </w:r>
      <w:r w:rsidR="008E22EC" w:rsidRPr="00CF5B13">
        <w:rPr>
          <w:rFonts w:ascii="Times New Roman" w:hAnsi="Times New Roman" w:cs="Times New Roman"/>
          <w:sz w:val="24"/>
          <w:szCs w:val="24"/>
          <w:lang w:val="cs-CZ"/>
        </w:rPr>
        <w:t xml:space="preserve">rování pokroku implementace </w:t>
      </w:r>
      <w:r w:rsidR="002A7ACA" w:rsidRPr="00CF5B13">
        <w:rPr>
          <w:rFonts w:ascii="Times New Roman" w:hAnsi="Times New Roman" w:cs="Times New Roman"/>
          <w:sz w:val="24"/>
          <w:szCs w:val="24"/>
          <w:lang w:val="cs-CZ"/>
        </w:rPr>
        <w:t>Agendy WPS formou každoroční</w:t>
      </w:r>
      <w:r w:rsidR="004A36A8" w:rsidRPr="00CF5B13">
        <w:rPr>
          <w:rFonts w:ascii="Times New Roman" w:hAnsi="Times New Roman" w:cs="Times New Roman"/>
          <w:sz w:val="24"/>
          <w:szCs w:val="24"/>
          <w:lang w:val="cs-CZ"/>
        </w:rPr>
        <w:t xml:space="preserve"> implementační zprávy </w:t>
      </w:r>
      <w:r w:rsidR="002A7ACA" w:rsidRPr="00CF5B13">
        <w:rPr>
          <w:rFonts w:ascii="Times New Roman" w:hAnsi="Times New Roman" w:cs="Times New Roman"/>
          <w:sz w:val="24"/>
          <w:szCs w:val="24"/>
          <w:lang w:val="cs-CZ"/>
        </w:rPr>
        <w:t xml:space="preserve">předkládané pro informaci vládě ČR </w:t>
      </w:r>
      <w:r w:rsidR="00C6079D" w:rsidRPr="00CF5B13">
        <w:rPr>
          <w:rFonts w:ascii="Times New Roman" w:hAnsi="Times New Roman" w:cs="Times New Roman"/>
          <w:sz w:val="24"/>
          <w:szCs w:val="24"/>
          <w:lang w:val="cs-CZ"/>
        </w:rPr>
        <w:t>a průběžným vyhodnocování</w:t>
      </w:r>
      <w:r w:rsidR="00AB4AA4" w:rsidRPr="00CF5B13">
        <w:rPr>
          <w:rFonts w:ascii="Times New Roman" w:hAnsi="Times New Roman" w:cs="Times New Roman"/>
          <w:sz w:val="24"/>
          <w:szCs w:val="24"/>
          <w:lang w:val="cs-CZ"/>
        </w:rPr>
        <w:t>m</w:t>
      </w:r>
      <w:r w:rsidR="00C6079D" w:rsidRPr="00CF5B13">
        <w:rPr>
          <w:rFonts w:ascii="Times New Roman" w:hAnsi="Times New Roman" w:cs="Times New Roman"/>
          <w:sz w:val="24"/>
          <w:szCs w:val="24"/>
          <w:lang w:val="cs-CZ"/>
        </w:rPr>
        <w:t xml:space="preserve"> implementace Agendy WPS</w:t>
      </w:r>
      <w:r w:rsidR="004A36A8" w:rsidRPr="00CF5B13">
        <w:rPr>
          <w:rFonts w:ascii="Times New Roman" w:hAnsi="Times New Roman" w:cs="Times New Roman"/>
          <w:sz w:val="24"/>
          <w:szCs w:val="24"/>
          <w:lang w:val="cs-CZ"/>
        </w:rPr>
        <w:t xml:space="preserve"> na schůzkách</w:t>
      </w:r>
      <w:r w:rsidR="002A7ACA" w:rsidRPr="00CF5B13">
        <w:rPr>
          <w:rFonts w:ascii="Times New Roman" w:hAnsi="Times New Roman" w:cs="Times New Roman"/>
          <w:sz w:val="24"/>
          <w:szCs w:val="24"/>
          <w:lang w:val="cs-CZ"/>
        </w:rPr>
        <w:t xml:space="preserve"> této </w:t>
      </w:r>
      <w:r w:rsidR="004A36A8" w:rsidRPr="00CF5B13">
        <w:rPr>
          <w:rFonts w:ascii="Times New Roman" w:hAnsi="Times New Roman" w:cs="Times New Roman"/>
          <w:sz w:val="24"/>
          <w:szCs w:val="24"/>
          <w:lang w:val="cs-CZ"/>
        </w:rPr>
        <w:t>mezi</w:t>
      </w:r>
      <w:r w:rsidR="00047ED7" w:rsidRPr="00CF5B13">
        <w:rPr>
          <w:rFonts w:ascii="Times New Roman" w:hAnsi="Times New Roman" w:cs="Times New Roman"/>
          <w:sz w:val="24"/>
          <w:szCs w:val="24"/>
          <w:lang w:val="cs-CZ"/>
        </w:rPr>
        <w:t>resort</w:t>
      </w:r>
      <w:r w:rsidR="004A36A8" w:rsidRPr="00CF5B13">
        <w:rPr>
          <w:rFonts w:ascii="Times New Roman" w:hAnsi="Times New Roman" w:cs="Times New Roman"/>
          <w:sz w:val="24"/>
          <w:szCs w:val="24"/>
          <w:lang w:val="cs-CZ"/>
        </w:rPr>
        <w:t>ní pracovní skupiny</w:t>
      </w:r>
      <w:r w:rsidR="002A7ACA" w:rsidRPr="00CF5B13">
        <w:rPr>
          <w:rFonts w:ascii="Times New Roman" w:hAnsi="Times New Roman" w:cs="Times New Roman"/>
          <w:sz w:val="24"/>
          <w:szCs w:val="24"/>
          <w:lang w:val="cs-CZ"/>
        </w:rPr>
        <w:t>.</w:t>
      </w:r>
      <w:r w:rsidR="004A36A8" w:rsidRPr="00CF5B13">
        <w:rPr>
          <w:rFonts w:ascii="Times New Roman" w:hAnsi="Times New Roman" w:cs="Times New Roman"/>
          <w:sz w:val="24"/>
          <w:szCs w:val="24"/>
          <w:lang w:val="cs-CZ"/>
        </w:rPr>
        <w:t xml:space="preserve"> </w:t>
      </w:r>
    </w:p>
    <w:p w:rsidR="00CC6447" w:rsidRPr="00CF5B13" w:rsidRDefault="00CC6447" w:rsidP="00633067">
      <w:pPr>
        <w:rPr>
          <w:rFonts w:ascii="Times New Roman" w:hAnsi="Times New Roman" w:cs="Times New Roman"/>
          <w:sz w:val="24"/>
          <w:szCs w:val="24"/>
          <w:lang w:val="cs-CZ"/>
        </w:rPr>
      </w:pPr>
    </w:p>
    <w:p w:rsidR="00633067" w:rsidRDefault="00633067" w:rsidP="00633067">
      <w:pPr>
        <w:rPr>
          <w:rFonts w:ascii="Times New Roman" w:hAnsi="Times New Roman" w:cs="Times New Roman"/>
          <w:sz w:val="24"/>
          <w:szCs w:val="24"/>
          <w:lang w:val="cs-CZ"/>
        </w:rPr>
      </w:pPr>
    </w:p>
    <w:p w:rsidR="00BE7B5C" w:rsidRPr="00CF5B13" w:rsidRDefault="00BE7B5C" w:rsidP="00633067">
      <w:pPr>
        <w:rPr>
          <w:rFonts w:ascii="Times New Roman" w:hAnsi="Times New Roman" w:cs="Times New Roman"/>
          <w:sz w:val="24"/>
          <w:szCs w:val="24"/>
          <w:lang w:val="cs-CZ"/>
        </w:rPr>
      </w:pPr>
    </w:p>
    <w:p w:rsidR="004A36A8" w:rsidRPr="00CF5B13" w:rsidRDefault="0011719C" w:rsidP="003C620E">
      <w:pPr>
        <w:pStyle w:val="Nadpis1"/>
        <w:numPr>
          <w:ilvl w:val="0"/>
          <w:numId w:val="9"/>
        </w:numPr>
        <w:rPr>
          <w:rFonts w:eastAsia="Calibri"/>
          <w:lang w:val="cs-CZ"/>
        </w:rPr>
      </w:pPr>
      <w:bookmarkStart w:id="2" w:name="_Toc134015671"/>
      <w:r w:rsidRPr="00CF5B13">
        <w:rPr>
          <w:rFonts w:eastAsia="Calibri"/>
          <w:lang w:val="cs-CZ"/>
        </w:rPr>
        <w:lastRenderedPageBreak/>
        <w:t>Implementace Agendy WPS v roce 202</w:t>
      </w:r>
      <w:r w:rsidR="003616F7" w:rsidRPr="00CF5B13">
        <w:rPr>
          <w:rFonts w:eastAsia="Calibri"/>
          <w:lang w:val="cs-CZ"/>
        </w:rPr>
        <w:t>2</w:t>
      </w:r>
      <w:bookmarkEnd w:id="2"/>
    </w:p>
    <w:p w:rsidR="002001C5" w:rsidRPr="00CF5B13" w:rsidRDefault="002001C5" w:rsidP="002001C5">
      <w:pPr>
        <w:rPr>
          <w:lang w:val="cs-CZ"/>
        </w:rPr>
      </w:pPr>
    </w:p>
    <w:p w:rsidR="0038337B" w:rsidRPr="00CF5B13" w:rsidRDefault="006F53CC" w:rsidP="00AB4AA4">
      <w:pPr>
        <w:pStyle w:val="Odstavecseseznamem"/>
        <w:spacing w:before="120" w:after="240" w:line="276" w:lineRule="auto"/>
        <w:ind w:left="0"/>
        <w:jc w:val="both"/>
        <w:rPr>
          <w:rFonts w:ascii="Times New Roman" w:eastAsia="Calibri" w:hAnsi="Times New Roman" w:cs="Times New Roman"/>
          <w:sz w:val="24"/>
          <w:szCs w:val="24"/>
          <w:lang w:val="cs-CZ"/>
        </w:rPr>
      </w:pPr>
      <w:r w:rsidRPr="00CF5B13">
        <w:rPr>
          <w:rFonts w:ascii="Times New Roman" w:hAnsi="Times New Roman" w:cs="Times New Roman"/>
          <w:sz w:val="24"/>
          <w:szCs w:val="24"/>
          <w:lang w:val="cs-CZ"/>
        </w:rPr>
        <w:t>Implementace Agendy WPS prob</w:t>
      </w:r>
      <w:r w:rsidR="0038337B" w:rsidRPr="00CF5B13">
        <w:rPr>
          <w:rFonts w:ascii="Times New Roman" w:hAnsi="Times New Roman" w:cs="Times New Roman"/>
          <w:sz w:val="24"/>
          <w:szCs w:val="24"/>
          <w:lang w:val="cs-CZ"/>
        </w:rPr>
        <w:t>íha</w:t>
      </w:r>
      <w:r w:rsidRPr="00CF5B13">
        <w:rPr>
          <w:rFonts w:ascii="Times New Roman" w:hAnsi="Times New Roman" w:cs="Times New Roman"/>
          <w:sz w:val="24"/>
          <w:szCs w:val="24"/>
          <w:lang w:val="cs-CZ"/>
        </w:rPr>
        <w:t>la v roce 202</w:t>
      </w:r>
      <w:r w:rsidR="0038337B" w:rsidRPr="00CF5B13">
        <w:rPr>
          <w:rFonts w:ascii="Times New Roman" w:hAnsi="Times New Roman" w:cs="Times New Roman"/>
          <w:sz w:val="24"/>
          <w:szCs w:val="24"/>
          <w:lang w:val="cs-CZ"/>
        </w:rPr>
        <w:t>2</w:t>
      </w:r>
      <w:r w:rsidRPr="00CF5B13">
        <w:rPr>
          <w:rFonts w:ascii="Times New Roman" w:hAnsi="Times New Roman" w:cs="Times New Roman"/>
          <w:sz w:val="24"/>
          <w:szCs w:val="24"/>
          <w:lang w:val="cs-CZ"/>
        </w:rPr>
        <w:t xml:space="preserve"> v ČR podle NAP na období 2021-2025. </w:t>
      </w:r>
      <w:r w:rsidR="0038337B" w:rsidRPr="00CF5B13">
        <w:rPr>
          <w:rFonts w:ascii="Times New Roman" w:hAnsi="Times New Roman" w:cs="Times New Roman"/>
          <w:sz w:val="24"/>
          <w:szCs w:val="24"/>
          <w:lang w:val="cs-CZ"/>
        </w:rPr>
        <w:t>V činnosti pokračovala</w:t>
      </w:r>
      <w:r w:rsidRPr="00CF5B13">
        <w:rPr>
          <w:rFonts w:ascii="Times New Roman" w:eastAsia="Calibri" w:hAnsi="Times New Roman" w:cs="Times New Roman"/>
          <w:sz w:val="24"/>
          <w:szCs w:val="24"/>
          <w:lang w:val="cs-CZ"/>
        </w:rPr>
        <w:t xml:space="preserve"> </w:t>
      </w:r>
      <w:r w:rsidRPr="00CF5B13">
        <w:rPr>
          <w:rFonts w:ascii="Times New Roman" w:eastAsia="Calibri" w:hAnsi="Times New Roman" w:cs="Times New Roman"/>
          <w:sz w:val="24"/>
          <w:szCs w:val="24"/>
          <w:u w:val="single"/>
          <w:lang w:val="cs-CZ"/>
        </w:rPr>
        <w:t>mezi</w:t>
      </w:r>
      <w:r w:rsidR="00047ED7" w:rsidRPr="00CF5B13">
        <w:rPr>
          <w:rFonts w:ascii="Times New Roman" w:eastAsia="Calibri" w:hAnsi="Times New Roman" w:cs="Times New Roman"/>
          <w:sz w:val="24"/>
          <w:szCs w:val="24"/>
          <w:u w:val="single"/>
          <w:lang w:val="cs-CZ"/>
        </w:rPr>
        <w:t>resort</w:t>
      </w:r>
      <w:r w:rsidRPr="00CF5B13">
        <w:rPr>
          <w:rFonts w:ascii="Times New Roman" w:eastAsia="Calibri" w:hAnsi="Times New Roman" w:cs="Times New Roman"/>
          <w:sz w:val="24"/>
          <w:szCs w:val="24"/>
          <w:u w:val="single"/>
          <w:lang w:val="cs-CZ"/>
        </w:rPr>
        <w:t>ní pracovní skupina k Agendě WPS</w:t>
      </w:r>
      <w:r w:rsidR="0038337B" w:rsidRPr="00CF5B13">
        <w:rPr>
          <w:rFonts w:ascii="Times New Roman" w:eastAsia="Calibri" w:hAnsi="Times New Roman" w:cs="Times New Roman"/>
          <w:sz w:val="24"/>
          <w:szCs w:val="24"/>
          <w:lang w:val="cs-CZ"/>
        </w:rPr>
        <w:t xml:space="preserve"> pod vedením MZV</w:t>
      </w:r>
      <w:r w:rsidRPr="00CF5B13">
        <w:rPr>
          <w:rFonts w:ascii="Times New Roman" w:eastAsia="Calibri" w:hAnsi="Times New Roman" w:cs="Times New Roman"/>
          <w:sz w:val="24"/>
          <w:szCs w:val="24"/>
          <w:lang w:val="cs-CZ"/>
        </w:rPr>
        <w:t xml:space="preserve">, </w:t>
      </w:r>
      <w:r w:rsidR="00AB4AA4" w:rsidRPr="00CF5B13">
        <w:rPr>
          <w:rFonts w:ascii="Times New Roman" w:eastAsia="Calibri" w:hAnsi="Times New Roman" w:cs="Times New Roman"/>
          <w:sz w:val="24"/>
          <w:szCs w:val="24"/>
          <w:lang w:val="cs-CZ"/>
        </w:rPr>
        <w:t xml:space="preserve">která se </w:t>
      </w:r>
      <w:r w:rsidR="00170078" w:rsidRPr="00CF5B13">
        <w:rPr>
          <w:rFonts w:ascii="Times New Roman" w:eastAsia="Calibri" w:hAnsi="Times New Roman" w:cs="Times New Roman"/>
          <w:sz w:val="24"/>
          <w:szCs w:val="24"/>
          <w:lang w:val="cs-CZ"/>
        </w:rPr>
        <w:t xml:space="preserve">věnovala </w:t>
      </w:r>
      <w:r w:rsidR="00792213" w:rsidRPr="00CF5B13">
        <w:rPr>
          <w:rFonts w:ascii="Times New Roman" w:eastAsia="Calibri" w:hAnsi="Times New Roman" w:cs="Times New Roman"/>
          <w:sz w:val="24"/>
          <w:szCs w:val="24"/>
          <w:lang w:val="cs-CZ"/>
        </w:rPr>
        <w:t xml:space="preserve">především </w:t>
      </w:r>
      <w:r w:rsidR="00170078" w:rsidRPr="00CF5B13">
        <w:rPr>
          <w:rFonts w:ascii="Times New Roman" w:eastAsia="Times New Roman" w:hAnsi="Times New Roman" w:cs="Times New Roman"/>
          <w:sz w:val="24"/>
          <w:szCs w:val="24"/>
          <w:lang w:val="cs-CZ"/>
        </w:rPr>
        <w:t xml:space="preserve">plnění </w:t>
      </w:r>
      <w:r w:rsidR="00792213" w:rsidRPr="00CF5B13">
        <w:rPr>
          <w:rFonts w:ascii="Times New Roman" w:eastAsia="Times New Roman" w:hAnsi="Times New Roman" w:cs="Times New Roman"/>
          <w:sz w:val="24"/>
          <w:szCs w:val="24"/>
          <w:lang w:val="cs-CZ"/>
        </w:rPr>
        <w:t xml:space="preserve">jednotlivých </w:t>
      </w:r>
      <w:r w:rsidR="00170078" w:rsidRPr="00CF5B13">
        <w:rPr>
          <w:rFonts w:ascii="Times New Roman" w:eastAsia="Times New Roman" w:hAnsi="Times New Roman" w:cs="Times New Roman"/>
          <w:sz w:val="24"/>
          <w:szCs w:val="24"/>
          <w:lang w:val="cs-CZ"/>
        </w:rPr>
        <w:t>opatření NAP</w:t>
      </w:r>
      <w:r w:rsidR="00792213" w:rsidRPr="00CF5B13">
        <w:rPr>
          <w:rFonts w:ascii="Times New Roman" w:eastAsia="Times New Roman" w:hAnsi="Times New Roman" w:cs="Times New Roman"/>
          <w:sz w:val="24"/>
          <w:szCs w:val="24"/>
          <w:lang w:val="cs-CZ"/>
        </w:rPr>
        <w:t xml:space="preserve"> a</w:t>
      </w:r>
      <w:r w:rsidR="00170078" w:rsidRPr="00CF5B13">
        <w:rPr>
          <w:rFonts w:ascii="Times New Roman" w:eastAsia="Times New Roman" w:hAnsi="Times New Roman" w:cs="Times New Roman"/>
          <w:sz w:val="24"/>
          <w:szCs w:val="24"/>
          <w:lang w:val="cs-CZ"/>
        </w:rPr>
        <w:t xml:space="preserve"> </w:t>
      </w:r>
      <w:r w:rsidR="00B70C9A" w:rsidRPr="00CF5B13">
        <w:rPr>
          <w:rFonts w:ascii="Times New Roman" w:eastAsia="Times New Roman" w:hAnsi="Times New Roman" w:cs="Times New Roman"/>
          <w:sz w:val="24"/>
          <w:szCs w:val="24"/>
          <w:lang w:val="cs-CZ"/>
        </w:rPr>
        <w:t xml:space="preserve">také </w:t>
      </w:r>
      <w:r w:rsidR="00170078" w:rsidRPr="00CF5B13">
        <w:rPr>
          <w:rFonts w:ascii="Times New Roman" w:eastAsia="Times New Roman" w:hAnsi="Times New Roman" w:cs="Times New Roman"/>
          <w:sz w:val="24"/>
          <w:szCs w:val="24"/>
          <w:lang w:val="cs-CZ"/>
        </w:rPr>
        <w:t>dopadů</w:t>
      </w:r>
      <w:r w:rsidR="00792213" w:rsidRPr="00CF5B13">
        <w:rPr>
          <w:rFonts w:ascii="Times New Roman" w:eastAsia="Times New Roman" w:hAnsi="Times New Roman" w:cs="Times New Roman"/>
          <w:sz w:val="24"/>
          <w:szCs w:val="24"/>
          <w:lang w:val="cs-CZ"/>
        </w:rPr>
        <w:t>m</w:t>
      </w:r>
      <w:r w:rsidR="00170078" w:rsidRPr="00CF5B13">
        <w:rPr>
          <w:rFonts w:ascii="Times New Roman" w:eastAsia="Times New Roman" w:hAnsi="Times New Roman" w:cs="Times New Roman"/>
          <w:sz w:val="24"/>
          <w:szCs w:val="24"/>
          <w:lang w:val="cs-CZ"/>
        </w:rPr>
        <w:t xml:space="preserve"> války Ruska proti Ukrajině </w:t>
      </w:r>
      <w:r w:rsidR="00792213" w:rsidRPr="00CF5B13">
        <w:rPr>
          <w:rFonts w:ascii="Times New Roman" w:eastAsia="Times New Roman" w:hAnsi="Times New Roman" w:cs="Times New Roman"/>
          <w:sz w:val="24"/>
          <w:szCs w:val="24"/>
          <w:lang w:val="cs-CZ"/>
        </w:rPr>
        <w:t>na implementaci Agendy WPS v ČR</w:t>
      </w:r>
      <w:r w:rsidR="00170078" w:rsidRPr="00CF5B13">
        <w:rPr>
          <w:rFonts w:ascii="Times New Roman" w:eastAsia="Times New Roman" w:hAnsi="Times New Roman" w:cs="Times New Roman"/>
          <w:sz w:val="24"/>
          <w:szCs w:val="24"/>
          <w:lang w:val="cs-CZ"/>
        </w:rPr>
        <w:t xml:space="preserve">. </w:t>
      </w:r>
      <w:r w:rsidR="00792213" w:rsidRPr="00CF5B13">
        <w:rPr>
          <w:rFonts w:ascii="Times New Roman" w:eastAsia="Calibri" w:hAnsi="Times New Roman" w:cs="Times New Roman"/>
          <w:sz w:val="24"/>
          <w:szCs w:val="24"/>
          <w:lang w:val="cs-CZ"/>
        </w:rPr>
        <w:t>V té souvislosti přijala mezi</w:t>
      </w:r>
      <w:r w:rsidR="00047ED7" w:rsidRPr="00CF5B13">
        <w:rPr>
          <w:rFonts w:ascii="Times New Roman" w:eastAsia="Calibri" w:hAnsi="Times New Roman" w:cs="Times New Roman"/>
          <w:sz w:val="24"/>
          <w:szCs w:val="24"/>
          <w:lang w:val="cs-CZ"/>
        </w:rPr>
        <w:t>resort</w:t>
      </w:r>
      <w:r w:rsidR="00792213" w:rsidRPr="00CF5B13">
        <w:rPr>
          <w:rFonts w:ascii="Times New Roman" w:eastAsia="Calibri" w:hAnsi="Times New Roman" w:cs="Times New Roman"/>
          <w:sz w:val="24"/>
          <w:szCs w:val="24"/>
          <w:lang w:val="cs-CZ"/>
        </w:rPr>
        <w:t xml:space="preserve">ní skupina </w:t>
      </w:r>
      <w:r w:rsidR="00792213" w:rsidRPr="00CF5B13">
        <w:rPr>
          <w:rFonts w:ascii="Times New Roman" w:hAnsi="Times New Roman" w:cs="Times New Roman"/>
          <w:sz w:val="24"/>
          <w:szCs w:val="24"/>
          <w:lang w:val="cs-CZ"/>
        </w:rPr>
        <w:t xml:space="preserve">doporučení </w:t>
      </w:r>
      <w:r w:rsidR="00792213" w:rsidRPr="00CF5B13">
        <w:rPr>
          <w:rFonts w:ascii="Times New Roman" w:hAnsi="Times New Roman" w:cs="Times New Roman"/>
          <w:color w:val="000000"/>
          <w:sz w:val="24"/>
          <w:szCs w:val="24"/>
          <w:lang w:val="cs-CZ"/>
        </w:rPr>
        <w:t xml:space="preserve">institucím státní správy reflektující potřebu promítnout dopady aktuálního dění do naplňování NAP a </w:t>
      </w:r>
      <w:r w:rsidR="006C3042" w:rsidRPr="00CF5B13">
        <w:rPr>
          <w:rFonts w:ascii="Times New Roman" w:hAnsi="Times New Roman" w:cs="Times New Roman"/>
          <w:color w:val="000000"/>
          <w:sz w:val="24"/>
          <w:szCs w:val="24"/>
          <w:lang w:val="cs-CZ"/>
        </w:rPr>
        <w:t>zohlednit</w:t>
      </w:r>
      <w:r w:rsidR="00792213" w:rsidRPr="00CF5B13">
        <w:rPr>
          <w:rFonts w:ascii="Times New Roman" w:hAnsi="Times New Roman" w:cs="Times New Roman"/>
          <w:color w:val="000000"/>
          <w:sz w:val="24"/>
          <w:szCs w:val="24"/>
          <w:lang w:val="cs-CZ"/>
        </w:rPr>
        <w:t xml:space="preserve"> aspekty Agendy WPS v </w:t>
      </w:r>
      <w:r w:rsidR="004B24A5" w:rsidRPr="00CF5B13">
        <w:rPr>
          <w:rFonts w:ascii="Times New Roman" w:hAnsi="Times New Roman" w:cs="Times New Roman"/>
          <w:color w:val="000000"/>
          <w:sz w:val="24"/>
          <w:szCs w:val="24"/>
          <w:lang w:val="cs-CZ"/>
        </w:rPr>
        <w:t>kontextu</w:t>
      </w:r>
      <w:r w:rsidR="00792213" w:rsidRPr="00CF5B13">
        <w:rPr>
          <w:rFonts w:ascii="Times New Roman" w:hAnsi="Times New Roman" w:cs="Times New Roman"/>
          <w:color w:val="000000"/>
          <w:sz w:val="24"/>
          <w:szCs w:val="24"/>
          <w:lang w:val="cs-CZ"/>
        </w:rPr>
        <w:t> opatření přijímaný</w:t>
      </w:r>
      <w:r w:rsidR="004B24A5" w:rsidRPr="00CF5B13">
        <w:rPr>
          <w:rFonts w:ascii="Times New Roman" w:hAnsi="Times New Roman" w:cs="Times New Roman"/>
          <w:color w:val="000000"/>
          <w:sz w:val="24"/>
          <w:szCs w:val="24"/>
          <w:lang w:val="cs-CZ"/>
        </w:rPr>
        <w:t>ch</w:t>
      </w:r>
      <w:r w:rsidR="00792213" w:rsidRPr="00CF5B13">
        <w:rPr>
          <w:rFonts w:ascii="Times New Roman" w:hAnsi="Times New Roman" w:cs="Times New Roman"/>
          <w:color w:val="000000"/>
          <w:sz w:val="24"/>
          <w:szCs w:val="24"/>
          <w:lang w:val="cs-CZ"/>
        </w:rPr>
        <w:t xml:space="preserve"> na podporu Ukrajiny.</w:t>
      </w:r>
      <w:r w:rsidR="00170078" w:rsidRPr="00CF5B13">
        <w:rPr>
          <w:rFonts w:ascii="Times New Roman" w:eastAsia="Calibri" w:hAnsi="Times New Roman" w:cs="Times New Roman"/>
          <w:sz w:val="24"/>
          <w:szCs w:val="24"/>
          <w:lang w:val="cs-CZ"/>
        </w:rPr>
        <w:t xml:space="preserve"> </w:t>
      </w:r>
    </w:p>
    <w:p w:rsidR="006F53CC" w:rsidRPr="00CF5B13" w:rsidRDefault="00070923" w:rsidP="00AB4AA4">
      <w:pPr>
        <w:snapToGrid w:val="0"/>
        <w:spacing w:before="120" w:after="120" w:line="276" w:lineRule="auto"/>
        <w:jc w:val="both"/>
        <w:rPr>
          <w:rFonts w:ascii="Times New Roman" w:eastAsia="Calibri" w:hAnsi="Times New Roman" w:cs="Times New Roman"/>
          <w:sz w:val="24"/>
          <w:szCs w:val="24"/>
          <w:lang w:val="cs-CZ"/>
        </w:rPr>
      </w:pPr>
      <w:r w:rsidRPr="00CF5B13">
        <w:rPr>
          <w:rFonts w:ascii="Times New Roman" w:eastAsia="Calibri" w:hAnsi="Times New Roman" w:cs="Times New Roman"/>
          <w:sz w:val="24"/>
          <w:szCs w:val="24"/>
          <w:lang w:val="cs-CZ"/>
        </w:rPr>
        <w:t xml:space="preserve">Na půdě OSN se ČR </w:t>
      </w:r>
      <w:r w:rsidR="00092DF1" w:rsidRPr="00CF5B13">
        <w:rPr>
          <w:rFonts w:ascii="Times New Roman" w:eastAsia="Calibri" w:hAnsi="Times New Roman" w:cs="Times New Roman"/>
          <w:sz w:val="24"/>
          <w:szCs w:val="24"/>
          <w:lang w:val="cs-CZ"/>
        </w:rPr>
        <w:t xml:space="preserve">prostřednictvím MZV </w:t>
      </w:r>
      <w:r w:rsidRPr="00CF5B13">
        <w:rPr>
          <w:rFonts w:ascii="Times New Roman" w:eastAsia="Calibri" w:hAnsi="Times New Roman" w:cs="Times New Roman"/>
          <w:sz w:val="24"/>
          <w:szCs w:val="24"/>
          <w:lang w:val="cs-CZ"/>
        </w:rPr>
        <w:t xml:space="preserve">nadále podílela na </w:t>
      </w:r>
      <w:r w:rsidRPr="00CF5B13">
        <w:rPr>
          <w:rFonts w:ascii="Times New Roman" w:eastAsia="Calibri" w:hAnsi="Times New Roman" w:cs="Times New Roman"/>
          <w:sz w:val="24"/>
          <w:szCs w:val="24"/>
          <w:u w:val="single"/>
          <w:lang w:val="cs-CZ"/>
        </w:rPr>
        <w:t>činnosti Skupiny přátel Agendy WPS</w:t>
      </w:r>
      <w:r w:rsidRPr="00CF5B13">
        <w:rPr>
          <w:rFonts w:ascii="Times New Roman" w:eastAsia="Calibri" w:hAnsi="Times New Roman" w:cs="Times New Roman"/>
          <w:sz w:val="24"/>
          <w:szCs w:val="24"/>
          <w:lang w:val="cs-CZ"/>
        </w:rPr>
        <w:t xml:space="preserve">. </w:t>
      </w:r>
      <w:r w:rsidRPr="00CF5B13">
        <w:rPr>
          <w:rFonts w:ascii="Times New Roman" w:hAnsi="Times New Roman" w:cs="Times New Roman"/>
          <w:sz w:val="24"/>
          <w:szCs w:val="24"/>
          <w:lang w:val="cs-CZ"/>
        </w:rPr>
        <w:t>S úspěšnou implementací Agendy WPS je také spjaté úsilí ČR systematicky</w:t>
      </w:r>
      <w:r w:rsidR="00AB4AA4" w:rsidRPr="00CF5B13">
        <w:rPr>
          <w:rFonts w:ascii="Times New Roman" w:hAnsi="Times New Roman" w:cs="Times New Roman"/>
          <w:sz w:val="24"/>
          <w:szCs w:val="24"/>
          <w:lang w:val="cs-CZ"/>
        </w:rPr>
        <w:t xml:space="preserve"> se</w:t>
      </w:r>
      <w:r w:rsidRPr="00CF5B13">
        <w:rPr>
          <w:rFonts w:ascii="Times New Roman" w:hAnsi="Times New Roman" w:cs="Times New Roman"/>
          <w:sz w:val="24"/>
          <w:szCs w:val="24"/>
          <w:lang w:val="cs-CZ"/>
        </w:rPr>
        <w:t xml:space="preserve"> na mezinárodních fórech </w:t>
      </w:r>
      <w:r w:rsidR="00AB4AA4" w:rsidRPr="00CF5B13">
        <w:rPr>
          <w:rFonts w:ascii="Times New Roman" w:hAnsi="Times New Roman" w:cs="Times New Roman"/>
          <w:sz w:val="24"/>
          <w:szCs w:val="24"/>
          <w:lang w:val="cs-CZ"/>
        </w:rPr>
        <w:t>zasazovat o</w:t>
      </w:r>
      <w:r w:rsidRPr="00CF5B13">
        <w:rPr>
          <w:rFonts w:ascii="Times New Roman" w:hAnsi="Times New Roman" w:cs="Times New Roman"/>
          <w:sz w:val="24"/>
          <w:szCs w:val="24"/>
          <w:lang w:val="cs-CZ"/>
        </w:rPr>
        <w:t> podpo</w:t>
      </w:r>
      <w:r w:rsidR="00AB4AA4" w:rsidRPr="00CF5B13">
        <w:rPr>
          <w:rFonts w:ascii="Times New Roman" w:hAnsi="Times New Roman" w:cs="Times New Roman"/>
          <w:sz w:val="24"/>
          <w:szCs w:val="24"/>
          <w:lang w:val="cs-CZ"/>
        </w:rPr>
        <w:t>ru</w:t>
      </w:r>
      <w:r w:rsidRPr="00CF5B13">
        <w:rPr>
          <w:rFonts w:ascii="Times New Roman" w:hAnsi="Times New Roman" w:cs="Times New Roman"/>
          <w:sz w:val="24"/>
          <w:szCs w:val="24"/>
          <w:lang w:val="cs-CZ"/>
        </w:rPr>
        <w:t xml:space="preserve"> </w:t>
      </w:r>
      <w:r w:rsidR="00EF353A" w:rsidRPr="00CF5B13">
        <w:rPr>
          <w:rFonts w:ascii="Times New Roman" w:hAnsi="Times New Roman" w:cs="Times New Roman"/>
          <w:sz w:val="24"/>
          <w:szCs w:val="24"/>
          <w:lang w:val="cs-CZ"/>
        </w:rPr>
        <w:t>dosažení genderové rovnosti</w:t>
      </w:r>
      <w:r w:rsidR="00AC34ED" w:rsidRPr="00CF5B13">
        <w:rPr>
          <w:rFonts w:ascii="Times New Roman" w:hAnsi="Times New Roman" w:cs="Times New Roman"/>
          <w:sz w:val="24"/>
          <w:szCs w:val="24"/>
          <w:lang w:val="cs-CZ"/>
        </w:rPr>
        <w:t>,</w:t>
      </w:r>
      <w:r w:rsidR="00EF353A" w:rsidRPr="00CF5B13">
        <w:rPr>
          <w:rFonts w:ascii="Times New Roman" w:hAnsi="Times New Roman" w:cs="Times New Roman"/>
          <w:sz w:val="24"/>
          <w:szCs w:val="24"/>
          <w:lang w:val="cs-CZ"/>
        </w:rPr>
        <w:t xml:space="preserve"> posíl</w:t>
      </w:r>
      <w:r w:rsidR="00092DF1" w:rsidRPr="00CF5B13">
        <w:rPr>
          <w:rFonts w:ascii="Times New Roman" w:hAnsi="Times New Roman" w:cs="Times New Roman"/>
          <w:sz w:val="24"/>
          <w:szCs w:val="24"/>
          <w:lang w:val="cs-CZ"/>
        </w:rPr>
        <w:t>ení</w:t>
      </w:r>
      <w:r w:rsidR="00EF353A" w:rsidRPr="00CF5B13">
        <w:rPr>
          <w:rFonts w:ascii="Times New Roman" w:hAnsi="Times New Roman" w:cs="Times New Roman"/>
          <w:sz w:val="24"/>
          <w:szCs w:val="24"/>
          <w:lang w:val="cs-CZ"/>
        </w:rPr>
        <w:t xml:space="preserve"> postavení všech žen a dívek, </w:t>
      </w:r>
      <w:r w:rsidRPr="00CF5B13">
        <w:rPr>
          <w:rFonts w:ascii="Times New Roman" w:hAnsi="Times New Roman" w:cs="Times New Roman"/>
          <w:sz w:val="24"/>
          <w:szCs w:val="24"/>
          <w:lang w:val="cs-CZ"/>
        </w:rPr>
        <w:t xml:space="preserve">a </w:t>
      </w:r>
      <w:r w:rsidR="00092DF1" w:rsidRPr="00CF5B13">
        <w:rPr>
          <w:rFonts w:ascii="Times New Roman" w:hAnsi="Times New Roman" w:cs="Times New Roman"/>
          <w:sz w:val="24"/>
          <w:szCs w:val="24"/>
          <w:lang w:val="cs-CZ"/>
        </w:rPr>
        <w:t xml:space="preserve">jejich </w:t>
      </w:r>
      <w:r w:rsidR="00AC34ED" w:rsidRPr="00CF5B13">
        <w:rPr>
          <w:rFonts w:ascii="Times New Roman" w:hAnsi="Times New Roman" w:cs="Times New Roman"/>
          <w:sz w:val="24"/>
          <w:szCs w:val="24"/>
          <w:lang w:val="cs-CZ"/>
        </w:rPr>
        <w:t>plnou, rovnou a smysluplnou participaci ve všech oblastech, včetně míru a bezpečnosti</w:t>
      </w:r>
      <w:r w:rsidRPr="00CF5B13">
        <w:rPr>
          <w:rFonts w:ascii="Times New Roman" w:hAnsi="Times New Roman" w:cs="Times New Roman"/>
          <w:sz w:val="24"/>
          <w:szCs w:val="24"/>
          <w:lang w:val="cs-CZ"/>
        </w:rPr>
        <w:t xml:space="preserve">. </w:t>
      </w:r>
      <w:r w:rsidR="00AB3522" w:rsidRPr="00CF5B13">
        <w:rPr>
          <w:rFonts w:ascii="Times New Roman" w:eastAsia="Calibri" w:hAnsi="Times New Roman" w:cs="Times New Roman"/>
          <w:sz w:val="24"/>
          <w:szCs w:val="24"/>
          <w:lang w:val="cs-CZ"/>
        </w:rPr>
        <w:t xml:space="preserve">Na jaře 2022 byla ČR zvolena </w:t>
      </w:r>
      <w:r w:rsidR="00863D0D" w:rsidRPr="00CF5B13">
        <w:rPr>
          <w:rFonts w:ascii="Times New Roman" w:eastAsia="Calibri" w:hAnsi="Times New Roman" w:cs="Times New Roman"/>
          <w:sz w:val="24"/>
          <w:szCs w:val="24"/>
          <w:lang w:val="cs-CZ"/>
        </w:rPr>
        <w:t>členem</w:t>
      </w:r>
      <w:r w:rsidR="00AB3522" w:rsidRPr="00CF5B13">
        <w:rPr>
          <w:rFonts w:ascii="Times New Roman" w:eastAsia="Calibri" w:hAnsi="Times New Roman" w:cs="Times New Roman"/>
          <w:sz w:val="24"/>
          <w:szCs w:val="24"/>
          <w:lang w:val="cs-CZ"/>
        </w:rPr>
        <w:t xml:space="preserve"> Rady OSN pro lidská práva na uvolněné místo po rezignaci Ruska a </w:t>
      </w:r>
      <w:r w:rsidR="00863D0D" w:rsidRPr="00CF5B13">
        <w:rPr>
          <w:rFonts w:ascii="Times New Roman" w:eastAsia="Calibri" w:hAnsi="Times New Roman" w:cs="Times New Roman"/>
          <w:sz w:val="24"/>
          <w:szCs w:val="24"/>
          <w:lang w:val="cs-CZ"/>
        </w:rPr>
        <w:t>členem</w:t>
      </w:r>
      <w:r w:rsidR="00AB3522" w:rsidRPr="00CF5B13">
        <w:rPr>
          <w:rFonts w:ascii="Times New Roman" w:eastAsia="Calibri" w:hAnsi="Times New Roman" w:cs="Times New Roman"/>
          <w:sz w:val="24"/>
          <w:szCs w:val="24"/>
          <w:lang w:val="cs-CZ"/>
        </w:rPr>
        <w:t xml:space="preserve"> Komise OSN pro postavení žen. </w:t>
      </w:r>
      <w:r w:rsidR="006F53CC" w:rsidRPr="00CF5B13">
        <w:rPr>
          <w:rFonts w:ascii="Times New Roman" w:eastAsia="Calibri" w:hAnsi="Times New Roman" w:cs="Times New Roman"/>
          <w:sz w:val="24"/>
          <w:szCs w:val="24"/>
          <w:lang w:val="cs-CZ"/>
        </w:rPr>
        <w:t>ČR v roce 202</w:t>
      </w:r>
      <w:r w:rsidR="0038337B" w:rsidRPr="00CF5B13">
        <w:rPr>
          <w:rFonts w:ascii="Times New Roman" w:eastAsia="Calibri" w:hAnsi="Times New Roman" w:cs="Times New Roman"/>
          <w:sz w:val="24"/>
          <w:szCs w:val="24"/>
          <w:lang w:val="cs-CZ"/>
        </w:rPr>
        <w:t>2</w:t>
      </w:r>
      <w:r w:rsidR="006F53CC" w:rsidRPr="00CF5B13">
        <w:rPr>
          <w:rFonts w:ascii="Times New Roman" w:eastAsia="Calibri" w:hAnsi="Times New Roman" w:cs="Times New Roman"/>
          <w:sz w:val="24"/>
          <w:szCs w:val="24"/>
          <w:lang w:val="cs-CZ"/>
        </w:rPr>
        <w:t xml:space="preserve"> opětovně podpořila rozpočet</w:t>
      </w:r>
      <w:r w:rsidR="004B24A5" w:rsidRPr="00CF5B13">
        <w:rPr>
          <w:rFonts w:ascii="Times New Roman" w:eastAsia="Calibri" w:hAnsi="Times New Roman" w:cs="Times New Roman"/>
          <w:sz w:val="24"/>
          <w:szCs w:val="24"/>
          <w:lang w:val="cs-CZ"/>
        </w:rPr>
        <w:t xml:space="preserve"> agencie</w:t>
      </w:r>
      <w:r w:rsidR="006F53CC" w:rsidRPr="00CF5B13">
        <w:rPr>
          <w:rFonts w:ascii="Times New Roman" w:eastAsia="Calibri" w:hAnsi="Times New Roman" w:cs="Times New Roman"/>
          <w:sz w:val="24"/>
          <w:szCs w:val="24"/>
          <w:lang w:val="cs-CZ"/>
        </w:rPr>
        <w:t xml:space="preserve"> UN WOMEN</w:t>
      </w:r>
      <w:r w:rsidR="004B24A5" w:rsidRPr="00CF5B13">
        <w:rPr>
          <w:lang w:val="cs-CZ"/>
        </w:rPr>
        <w:t xml:space="preserve"> </w:t>
      </w:r>
      <w:r w:rsidR="006F53CC" w:rsidRPr="00CF5B13">
        <w:rPr>
          <w:rFonts w:ascii="Times New Roman" w:eastAsia="Calibri" w:hAnsi="Times New Roman" w:cs="Times New Roman"/>
          <w:sz w:val="24"/>
          <w:szCs w:val="24"/>
          <w:lang w:val="cs-CZ"/>
        </w:rPr>
        <w:t xml:space="preserve">částkou 400 000 Kč a </w:t>
      </w:r>
      <w:r w:rsidR="004B24A5" w:rsidRPr="00CF5B13">
        <w:rPr>
          <w:rFonts w:ascii="Times New Roman" w:eastAsia="Calibri" w:hAnsi="Times New Roman" w:cs="Times New Roman"/>
          <w:sz w:val="24"/>
          <w:szCs w:val="24"/>
          <w:lang w:val="cs-CZ"/>
        </w:rPr>
        <w:t xml:space="preserve">rozpočet </w:t>
      </w:r>
      <w:r w:rsidR="006F53CC" w:rsidRPr="00CF5B13">
        <w:rPr>
          <w:rFonts w:ascii="Times New Roman" w:eastAsia="Calibri" w:hAnsi="Times New Roman" w:cs="Times New Roman"/>
          <w:sz w:val="24"/>
          <w:szCs w:val="24"/>
          <w:lang w:val="cs-CZ"/>
        </w:rPr>
        <w:t>Úřad</w:t>
      </w:r>
      <w:r w:rsidR="004B24A5" w:rsidRPr="00CF5B13">
        <w:rPr>
          <w:rFonts w:ascii="Times New Roman" w:eastAsia="Calibri" w:hAnsi="Times New Roman" w:cs="Times New Roman"/>
          <w:sz w:val="24"/>
          <w:szCs w:val="24"/>
          <w:lang w:val="cs-CZ"/>
        </w:rPr>
        <w:t>u</w:t>
      </w:r>
      <w:r w:rsidR="006F53CC" w:rsidRPr="00CF5B13">
        <w:rPr>
          <w:rFonts w:ascii="Times New Roman" w:eastAsia="Calibri" w:hAnsi="Times New Roman" w:cs="Times New Roman"/>
          <w:sz w:val="24"/>
          <w:szCs w:val="24"/>
          <w:lang w:val="cs-CZ"/>
        </w:rPr>
        <w:t xml:space="preserve"> Vysoké</w:t>
      </w:r>
      <w:r w:rsidR="004B24A5" w:rsidRPr="00CF5B13">
        <w:rPr>
          <w:rFonts w:ascii="Times New Roman" w:eastAsia="Calibri" w:hAnsi="Times New Roman" w:cs="Times New Roman"/>
          <w:sz w:val="24"/>
          <w:szCs w:val="24"/>
          <w:lang w:val="cs-CZ"/>
        </w:rPr>
        <w:t>ho</w:t>
      </w:r>
      <w:r w:rsidR="006F53CC" w:rsidRPr="00CF5B13">
        <w:rPr>
          <w:rFonts w:ascii="Times New Roman" w:eastAsia="Calibri" w:hAnsi="Times New Roman" w:cs="Times New Roman"/>
          <w:sz w:val="24"/>
          <w:szCs w:val="24"/>
          <w:lang w:val="cs-CZ"/>
        </w:rPr>
        <w:t xml:space="preserve"> komisař</w:t>
      </w:r>
      <w:r w:rsidR="004B24A5" w:rsidRPr="00CF5B13">
        <w:rPr>
          <w:rFonts w:ascii="Times New Roman" w:eastAsia="Calibri" w:hAnsi="Times New Roman" w:cs="Times New Roman"/>
          <w:sz w:val="24"/>
          <w:szCs w:val="24"/>
          <w:lang w:val="cs-CZ"/>
        </w:rPr>
        <w:t>e</w:t>
      </w:r>
      <w:r w:rsidRPr="00CF5B13">
        <w:rPr>
          <w:rFonts w:ascii="Times New Roman" w:eastAsia="Calibri" w:hAnsi="Times New Roman" w:cs="Times New Roman"/>
          <w:sz w:val="24"/>
          <w:szCs w:val="24"/>
          <w:lang w:val="cs-CZ"/>
        </w:rPr>
        <w:t xml:space="preserve"> pro lidská práva částkou </w:t>
      </w:r>
      <w:r w:rsidR="006F53CC" w:rsidRPr="00CF5B13">
        <w:rPr>
          <w:rFonts w:ascii="Times New Roman" w:eastAsia="Calibri" w:hAnsi="Times New Roman" w:cs="Times New Roman"/>
          <w:sz w:val="24"/>
          <w:szCs w:val="24"/>
          <w:lang w:val="cs-CZ"/>
        </w:rPr>
        <w:t xml:space="preserve">2 000 000 Kč. </w:t>
      </w:r>
    </w:p>
    <w:p w:rsidR="00F148DC" w:rsidRPr="00CF5B13" w:rsidRDefault="00F148DC" w:rsidP="00F148DC">
      <w:pPr>
        <w:spacing w:before="240" w:line="276" w:lineRule="auto"/>
        <w:jc w:val="both"/>
        <w:rPr>
          <w:rFonts w:ascii="Times New Roman" w:hAnsi="Times New Roman" w:cs="Times New Roman"/>
          <w:sz w:val="24"/>
          <w:szCs w:val="24"/>
          <w:lang w:val="cs-CZ"/>
        </w:rPr>
      </w:pPr>
      <w:r w:rsidRPr="00CF5B13">
        <w:rPr>
          <w:rFonts w:ascii="Times New Roman" w:hAnsi="Times New Roman" w:cs="Times New Roman"/>
          <w:sz w:val="24"/>
          <w:szCs w:val="24"/>
          <w:lang w:val="cs-CZ"/>
        </w:rPr>
        <w:t xml:space="preserve">Téma genderové rovnosti a WPS bylo v roce 2022 dále integrováno do </w:t>
      </w:r>
      <w:r w:rsidRPr="00CF5B13">
        <w:rPr>
          <w:rFonts w:ascii="Times New Roman" w:hAnsi="Times New Roman" w:cs="Times New Roman"/>
          <w:sz w:val="24"/>
          <w:szCs w:val="24"/>
          <w:u w:val="single"/>
          <w:lang w:val="cs-CZ"/>
        </w:rPr>
        <w:t>odborných školení</w:t>
      </w:r>
      <w:r w:rsidRPr="00CF5B13">
        <w:rPr>
          <w:rFonts w:ascii="Times New Roman" w:hAnsi="Times New Roman" w:cs="Times New Roman"/>
          <w:sz w:val="24"/>
          <w:szCs w:val="24"/>
          <w:lang w:val="cs-CZ"/>
        </w:rPr>
        <w:t xml:space="preserve"> určených pracovníkům </w:t>
      </w:r>
      <w:r w:rsidR="00047ED7" w:rsidRPr="00CF5B13">
        <w:rPr>
          <w:rFonts w:ascii="Times New Roman" w:hAnsi="Times New Roman" w:cs="Times New Roman"/>
          <w:sz w:val="24"/>
          <w:szCs w:val="24"/>
          <w:lang w:val="cs-CZ"/>
        </w:rPr>
        <w:t>resort</w:t>
      </w:r>
      <w:r w:rsidRPr="00CF5B13">
        <w:rPr>
          <w:rFonts w:ascii="Times New Roman" w:hAnsi="Times New Roman" w:cs="Times New Roman"/>
          <w:sz w:val="24"/>
          <w:szCs w:val="24"/>
          <w:lang w:val="cs-CZ"/>
        </w:rPr>
        <w:t xml:space="preserve">ů odpovědných za implementaci Agendy WPS i širšímu publiku; </w:t>
      </w:r>
      <w:r w:rsidR="00047ED7" w:rsidRPr="00CF5B13">
        <w:rPr>
          <w:rFonts w:ascii="Times New Roman" w:hAnsi="Times New Roman" w:cs="Times New Roman"/>
          <w:sz w:val="24"/>
          <w:szCs w:val="24"/>
          <w:lang w:val="cs-CZ"/>
        </w:rPr>
        <w:t>resort</w:t>
      </w:r>
      <w:r w:rsidR="00334CA2" w:rsidRPr="00CF5B13">
        <w:rPr>
          <w:rFonts w:ascii="Times New Roman" w:hAnsi="Times New Roman" w:cs="Times New Roman"/>
          <w:sz w:val="24"/>
          <w:szCs w:val="24"/>
          <w:lang w:val="cs-CZ"/>
        </w:rPr>
        <w:t xml:space="preserve">ní </w:t>
      </w:r>
      <w:r w:rsidR="004E458C" w:rsidRPr="00CF5B13">
        <w:rPr>
          <w:rFonts w:ascii="Times New Roman" w:hAnsi="Times New Roman" w:cs="Times New Roman"/>
          <w:sz w:val="24"/>
          <w:szCs w:val="24"/>
          <w:lang w:val="cs-CZ"/>
        </w:rPr>
        <w:t xml:space="preserve">experti </w:t>
      </w:r>
      <w:r w:rsidRPr="00CF5B13">
        <w:rPr>
          <w:rFonts w:ascii="Times New Roman" w:hAnsi="Times New Roman" w:cs="Times New Roman"/>
          <w:sz w:val="24"/>
          <w:szCs w:val="24"/>
          <w:lang w:val="cs-CZ"/>
        </w:rPr>
        <w:t xml:space="preserve">se rovněž zapojovali do aktivit </w:t>
      </w:r>
      <w:r w:rsidR="00334CA2" w:rsidRPr="00CF5B13">
        <w:rPr>
          <w:rFonts w:ascii="Times New Roman" w:hAnsi="Times New Roman" w:cs="Times New Roman"/>
          <w:sz w:val="24"/>
          <w:szCs w:val="24"/>
          <w:lang w:val="cs-CZ"/>
        </w:rPr>
        <w:t xml:space="preserve">globální sítě WPS focal points a dalších iniciativ </w:t>
      </w:r>
      <w:r w:rsidRPr="00CF5B13">
        <w:rPr>
          <w:rFonts w:ascii="Times New Roman" w:hAnsi="Times New Roman" w:cs="Times New Roman"/>
          <w:sz w:val="24"/>
          <w:szCs w:val="24"/>
          <w:lang w:val="cs-CZ"/>
        </w:rPr>
        <w:t>na mezinárodní úrovni k této problematice.</w:t>
      </w:r>
    </w:p>
    <w:p w:rsidR="006A56A2" w:rsidRPr="00CF5B13" w:rsidRDefault="006F53CC" w:rsidP="007538AA">
      <w:pPr>
        <w:spacing w:before="240" w:line="276" w:lineRule="auto"/>
        <w:jc w:val="both"/>
        <w:rPr>
          <w:rFonts w:ascii="Times New Roman" w:hAnsi="Times New Roman" w:cs="Times New Roman"/>
          <w:sz w:val="24"/>
          <w:szCs w:val="24"/>
          <w:lang w:val="cs-CZ"/>
        </w:rPr>
      </w:pPr>
      <w:r w:rsidRPr="00CF5B13">
        <w:rPr>
          <w:rFonts w:ascii="Times New Roman" w:hAnsi="Times New Roman" w:cs="Times New Roman"/>
          <w:sz w:val="24"/>
          <w:szCs w:val="24"/>
          <w:lang w:val="cs-CZ"/>
        </w:rPr>
        <w:t xml:space="preserve">NAP </w:t>
      </w:r>
      <w:r w:rsidR="008C0B97" w:rsidRPr="00CF5B13">
        <w:rPr>
          <w:rFonts w:ascii="Times New Roman" w:hAnsi="Times New Roman" w:cs="Times New Roman"/>
          <w:sz w:val="24"/>
          <w:szCs w:val="24"/>
          <w:lang w:val="cs-CZ"/>
        </w:rPr>
        <w:t>dále</w:t>
      </w:r>
      <w:r w:rsidRPr="00CF5B13">
        <w:rPr>
          <w:rFonts w:ascii="Times New Roman" w:hAnsi="Times New Roman" w:cs="Times New Roman"/>
          <w:sz w:val="24"/>
          <w:szCs w:val="24"/>
          <w:lang w:val="cs-CZ"/>
        </w:rPr>
        <w:t xml:space="preserve"> uložil odpovědným subjektům </w:t>
      </w:r>
      <w:r w:rsidRPr="00CF5B13">
        <w:rPr>
          <w:rFonts w:ascii="Times New Roman" w:hAnsi="Times New Roman" w:cs="Times New Roman"/>
          <w:sz w:val="24"/>
          <w:szCs w:val="24"/>
          <w:u w:val="single"/>
          <w:lang w:val="cs-CZ"/>
        </w:rPr>
        <w:t xml:space="preserve">sběr dat a </w:t>
      </w:r>
      <w:r w:rsidR="00F148DC" w:rsidRPr="00CF5B13">
        <w:rPr>
          <w:rFonts w:ascii="Times New Roman" w:hAnsi="Times New Roman" w:cs="Times New Roman"/>
          <w:sz w:val="24"/>
          <w:szCs w:val="24"/>
          <w:u w:val="single"/>
          <w:lang w:val="cs-CZ"/>
        </w:rPr>
        <w:t>jejich</w:t>
      </w:r>
      <w:r w:rsidRPr="00CF5B13">
        <w:rPr>
          <w:rFonts w:ascii="Times New Roman" w:hAnsi="Times New Roman" w:cs="Times New Roman"/>
          <w:sz w:val="24"/>
          <w:szCs w:val="24"/>
          <w:u w:val="single"/>
          <w:lang w:val="cs-CZ"/>
        </w:rPr>
        <w:t xml:space="preserve"> genderovou analýzu</w:t>
      </w:r>
      <w:r w:rsidR="00933678" w:rsidRPr="00CF5B13">
        <w:rPr>
          <w:rFonts w:ascii="Times New Roman" w:hAnsi="Times New Roman" w:cs="Times New Roman"/>
          <w:sz w:val="24"/>
          <w:szCs w:val="24"/>
          <w:lang w:val="cs-CZ"/>
        </w:rPr>
        <w:t>,</w:t>
      </w:r>
      <w:r w:rsidRPr="00CF5B13">
        <w:rPr>
          <w:rFonts w:ascii="Times New Roman" w:hAnsi="Times New Roman" w:cs="Times New Roman"/>
          <w:sz w:val="24"/>
          <w:szCs w:val="24"/>
          <w:lang w:val="cs-CZ"/>
        </w:rPr>
        <w:t xml:space="preserve"> </w:t>
      </w:r>
      <w:r w:rsidR="00933678" w:rsidRPr="00CF5B13">
        <w:rPr>
          <w:rFonts w:ascii="Times New Roman" w:hAnsi="Times New Roman" w:cs="Times New Roman"/>
          <w:sz w:val="24"/>
          <w:szCs w:val="24"/>
          <w:lang w:val="cs-CZ"/>
        </w:rPr>
        <w:t>která</w:t>
      </w:r>
      <w:r w:rsidRPr="00CF5B13">
        <w:rPr>
          <w:rFonts w:ascii="Times New Roman" w:hAnsi="Times New Roman" w:cs="Times New Roman"/>
          <w:sz w:val="24"/>
          <w:szCs w:val="24"/>
          <w:lang w:val="cs-CZ"/>
        </w:rPr>
        <w:t xml:space="preserve"> </w:t>
      </w:r>
      <w:r w:rsidR="00AB4AA4" w:rsidRPr="00CF5B13">
        <w:rPr>
          <w:rFonts w:ascii="Times New Roman" w:hAnsi="Times New Roman" w:cs="Times New Roman"/>
          <w:sz w:val="24"/>
          <w:szCs w:val="24"/>
          <w:lang w:val="cs-CZ"/>
        </w:rPr>
        <w:t xml:space="preserve">v uplynulém roce </w:t>
      </w:r>
      <w:r w:rsidR="00092DF1" w:rsidRPr="00CF5B13">
        <w:rPr>
          <w:rFonts w:ascii="Times New Roman" w:hAnsi="Times New Roman" w:cs="Times New Roman"/>
          <w:sz w:val="24"/>
          <w:szCs w:val="24"/>
          <w:lang w:val="cs-CZ"/>
        </w:rPr>
        <w:t xml:space="preserve">buď </w:t>
      </w:r>
      <w:r w:rsidRPr="00CF5B13">
        <w:rPr>
          <w:rFonts w:ascii="Times New Roman" w:hAnsi="Times New Roman" w:cs="Times New Roman"/>
          <w:sz w:val="24"/>
          <w:szCs w:val="24"/>
          <w:lang w:val="cs-CZ"/>
        </w:rPr>
        <w:t>proběhl</w:t>
      </w:r>
      <w:r w:rsidR="00092DF1" w:rsidRPr="00CF5B13">
        <w:rPr>
          <w:rFonts w:ascii="Times New Roman" w:hAnsi="Times New Roman" w:cs="Times New Roman"/>
          <w:sz w:val="24"/>
          <w:szCs w:val="24"/>
          <w:lang w:val="cs-CZ"/>
        </w:rPr>
        <w:t>a</w:t>
      </w:r>
      <w:r w:rsidRPr="00CF5B13">
        <w:rPr>
          <w:rFonts w:ascii="Times New Roman" w:hAnsi="Times New Roman" w:cs="Times New Roman"/>
          <w:sz w:val="24"/>
          <w:szCs w:val="24"/>
          <w:lang w:val="cs-CZ"/>
        </w:rPr>
        <w:t xml:space="preserve"> </w:t>
      </w:r>
      <w:r w:rsidR="00092DF1" w:rsidRPr="00CF5B13">
        <w:rPr>
          <w:rFonts w:ascii="Times New Roman" w:hAnsi="Times New Roman" w:cs="Times New Roman"/>
          <w:sz w:val="24"/>
          <w:szCs w:val="24"/>
          <w:lang w:val="cs-CZ"/>
        </w:rPr>
        <w:t xml:space="preserve">či probíhá a ve vyhodnocení </w:t>
      </w:r>
      <w:r w:rsidR="00643C42" w:rsidRPr="00CF5B13">
        <w:rPr>
          <w:rFonts w:ascii="Times New Roman" w:hAnsi="Times New Roman" w:cs="Times New Roman"/>
          <w:sz w:val="24"/>
          <w:szCs w:val="24"/>
          <w:lang w:val="cs-CZ"/>
        </w:rPr>
        <w:t>je zohledněna</w:t>
      </w:r>
      <w:r w:rsidRPr="00CF5B13">
        <w:rPr>
          <w:rFonts w:ascii="Times New Roman" w:hAnsi="Times New Roman" w:cs="Times New Roman"/>
          <w:sz w:val="24"/>
          <w:szCs w:val="24"/>
          <w:lang w:val="cs-CZ"/>
        </w:rPr>
        <w:t xml:space="preserve">, </w:t>
      </w:r>
      <w:r w:rsidR="00AB4AA4" w:rsidRPr="00CF5B13">
        <w:rPr>
          <w:rFonts w:ascii="Times New Roman" w:hAnsi="Times New Roman" w:cs="Times New Roman"/>
          <w:sz w:val="24"/>
          <w:szCs w:val="24"/>
          <w:lang w:val="cs-CZ"/>
        </w:rPr>
        <w:t>anebo</w:t>
      </w:r>
      <w:r w:rsidR="00092DF1" w:rsidRPr="00CF5B13">
        <w:rPr>
          <w:rFonts w:ascii="Times New Roman" w:hAnsi="Times New Roman" w:cs="Times New Roman"/>
          <w:sz w:val="24"/>
          <w:szCs w:val="24"/>
          <w:lang w:val="cs-CZ"/>
        </w:rPr>
        <w:t xml:space="preserve"> </w:t>
      </w:r>
      <w:r w:rsidRPr="00CF5B13">
        <w:rPr>
          <w:rFonts w:ascii="Times New Roman" w:hAnsi="Times New Roman" w:cs="Times New Roman"/>
          <w:sz w:val="24"/>
          <w:szCs w:val="24"/>
          <w:lang w:val="cs-CZ"/>
        </w:rPr>
        <w:t>odpovědné subjekty teprve vytvářejí metodologii a sběr dat za</w:t>
      </w:r>
      <w:r w:rsidR="00092DF1" w:rsidRPr="00CF5B13">
        <w:rPr>
          <w:rFonts w:ascii="Times New Roman" w:hAnsi="Times New Roman" w:cs="Times New Roman"/>
          <w:sz w:val="24"/>
          <w:szCs w:val="24"/>
          <w:lang w:val="cs-CZ"/>
        </w:rPr>
        <w:t>po</w:t>
      </w:r>
      <w:r w:rsidRPr="00CF5B13">
        <w:rPr>
          <w:rFonts w:ascii="Times New Roman" w:hAnsi="Times New Roman" w:cs="Times New Roman"/>
          <w:sz w:val="24"/>
          <w:szCs w:val="24"/>
          <w:lang w:val="cs-CZ"/>
        </w:rPr>
        <w:t xml:space="preserve">čne v následujícím období. </w:t>
      </w:r>
    </w:p>
    <w:p w:rsidR="00633067" w:rsidRPr="00CF5B13" w:rsidRDefault="00633067" w:rsidP="00633067">
      <w:pPr>
        <w:rPr>
          <w:rFonts w:ascii="Times New Roman" w:hAnsi="Times New Roman" w:cs="Times New Roman"/>
          <w:sz w:val="24"/>
          <w:szCs w:val="24"/>
          <w:lang w:val="cs-CZ"/>
        </w:rPr>
      </w:pPr>
    </w:p>
    <w:p w:rsidR="00B20DCC" w:rsidRPr="00CF5B13" w:rsidRDefault="00D23034" w:rsidP="00250B0B">
      <w:pPr>
        <w:pStyle w:val="Nadpis1"/>
        <w:numPr>
          <w:ilvl w:val="0"/>
          <w:numId w:val="9"/>
        </w:numPr>
        <w:spacing w:after="360"/>
        <w:rPr>
          <w:lang w:val="cs-CZ"/>
        </w:rPr>
      </w:pPr>
      <w:bookmarkStart w:id="3" w:name="_Toc134015672"/>
      <w:r w:rsidRPr="00CF5B13">
        <w:rPr>
          <w:lang w:val="cs-CZ"/>
        </w:rPr>
        <w:t>Implementace konkrétních opatření v roce 202</w:t>
      </w:r>
      <w:r w:rsidR="003616F7" w:rsidRPr="00CF5B13">
        <w:rPr>
          <w:lang w:val="cs-CZ"/>
        </w:rPr>
        <w:t>2</w:t>
      </w:r>
      <w:bookmarkEnd w:id="3"/>
      <w:r w:rsidRPr="00CF5B13">
        <w:rPr>
          <w:lang w:val="cs-CZ"/>
        </w:rPr>
        <w:t xml:space="preserve"> </w:t>
      </w:r>
    </w:p>
    <w:p w:rsidR="006754FD" w:rsidRPr="00CF5B13" w:rsidRDefault="006754FD" w:rsidP="006754FD">
      <w:pPr>
        <w:spacing w:before="100" w:beforeAutospacing="1" w:after="0" w:line="276" w:lineRule="auto"/>
        <w:jc w:val="both"/>
        <w:rPr>
          <w:rFonts w:ascii="Times New Roman" w:hAnsi="Times New Roman" w:cs="Times New Roman"/>
          <w:sz w:val="24"/>
          <w:szCs w:val="24"/>
          <w:lang w:val="cs-CZ"/>
        </w:rPr>
      </w:pPr>
      <w:r w:rsidRPr="00CF5B13">
        <w:rPr>
          <w:rFonts w:ascii="Times New Roman" w:hAnsi="Times New Roman" w:cs="Times New Roman"/>
          <w:sz w:val="24"/>
          <w:szCs w:val="24"/>
          <w:lang w:val="cs-CZ"/>
        </w:rPr>
        <w:t>Struktura této implementační zprávy je členěna do čtyř kapitol odpovídajících vytyčeným strategickým cílům. Obsahem každé kapitoly je výčet konkrétních opatření NAP a základní informace, jak byla tato opatření plněna v roce 2022 (tedy v druhém roce pětiletého cyklu). Pro hodnocení plnění je použita následující kvalifikace:</w:t>
      </w:r>
    </w:p>
    <w:p w:rsidR="006754FD" w:rsidRPr="00CF5B13" w:rsidRDefault="006754FD" w:rsidP="006754FD">
      <w:pPr>
        <w:spacing w:after="0"/>
        <w:jc w:val="both"/>
        <w:rPr>
          <w:rFonts w:ascii="Times New Roman" w:hAnsi="Times New Roman" w:cs="Times New Roman"/>
          <w:sz w:val="24"/>
          <w:szCs w:val="24"/>
          <w:lang w:val="cs-CZ"/>
        </w:rPr>
      </w:pPr>
    </w:p>
    <w:p w:rsidR="006754FD" w:rsidRPr="00CF5B13" w:rsidRDefault="006754FD" w:rsidP="006754FD">
      <w:pPr>
        <w:spacing w:after="0" w:line="240" w:lineRule="auto"/>
        <w:jc w:val="both"/>
        <w:rPr>
          <w:rFonts w:ascii="Times New Roman" w:hAnsi="Times New Roman" w:cs="Times New Roman"/>
          <w:b/>
          <w:sz w:val="24"/>
          <w:szCs w:val="24"/>
          <w:lang w:val="cs-CZ"/>
        </w:rPr>
      </w:pPr>
      <w:r w:rsidRPr="00CF5B13">
        <w:rPr>
          <w:rFonts w:ascii="Times New Roman" w:hAnsi="Times New Roman" w:cs="Times New Roman"/>
          <w:b/>
          <w:sz w:val="24"/>
          <w:szCs w:val="24"/>
          <w:lang w:val="cs-CZ"/>
        </w:rPr>
        <w:t>Splněno - Prozatím nesplněno (plnění proběhne v následujícím období) - Plněno průběžně</w:t>
      </w:r>
    </w:p>
    <w:p w:rsidR="006754FD" w:rsidRPr="00CF5B13" w:rsidRDefault="006754FD" w:rsidP="006754FD">
      <w:pPr>
        <w:rPr>
          <w:lang w:val="cs-CZ"/>
        </w:rPr>
      </w:pPr>
    </w:p>
    <w:p w:rsidR="006754FD" w:rsidRPr="00CF5B13" w:rsidRDefault="006754FD" w:rsidP="006754FD">
      <w:pPr>
        <w:rPr>
          <w:lang w:val="cs-CZ"/>
        </w:rPr>
      </w:pPr>
    </w:p>
    <w:p w:rsidR="00806259" w:rsidRPr="00CF5B13" w:rsidRDefault="00806259" w:rsidP="001753E8">
      <w:pPr>
        <w:pStyle w:val="Nadpis1"/>
        <w:numPr>
          <w:ilvl w:val="0"/>
          <w:numId w:val="10"/>
        </w:numPr>
        <w:spacing w:before="0"/>
        <w:rPr>
          <w:lang w:val="cs-CZ"/>
        </w:rPr>
      </w:pPr>
      <w:bookmarkStart w:id="4" w:name="_Toc134015673"/>
      <w:r w:rsidRPr="00CF5B13">
        <w:rPr>
          <w:lang w:val="cs-CZ"/>
        </w:rPr>
        <w:lastRenderedPageBreak/>
        <w:t>Participace</w:t>
      </w:r>
      <w:bookmarkEnd w:id="4"/>
    </w:p>
    <w:p w:rsidR="00706D8A" w:rsidRPr="00CF5B13" w:rsidRDefault="00706D8A" w:rsidP="001753E8">
      <w:pPr>
        <w:spacing w:after="120"/>
        <w:ind w:right="-659"/>
        <w:rPr>
          <w:lang w:val="cs-CZ"/>
        </w:rPr>
      </w:pPr>
    </w:p>
    <w:p w:rsidR="00806259" w:rsidRPr="00CF5B13" w:rsidRDefault="00706D8A" w:rsidP="0087625A">
      <w:pPr>
        <w:pStyle w:val="Odstavecseseznamem"/>
        <w:ind w:left="0" w:right="-800"/>
        <w:jc w:val="both"/>
        <w:rPr>
          <w:rFonts w:ascii="Times New Roman" w:hAnsi="Times New Roman" w:cs="Times New Roman"/>
          <w:b/>
          <w:sz w:val="24"/>
          <w:szCs w:val="24"/>
          <w:lang w:val="cs-CZ"/>
        </w:rPr>
      </w:pPr>
      <w:r w:rsidRPr="00CF5B13">
        <w:rPr>
          <w:rFonts w:ascii="Times New Roman" w:hAnsi="Times New Roman" w:cs="Times New Roman"/>
          <w:b/>
          <w:sz w:val="24"/>
          <w:szCs w:val="24"/>
          <w:lang w:val="cs-CZ"/>
        </w:rPr>
        <w:t>Strategický cíl: Posilovat participaci a vůdčí roli žen ve všech oblastech spojených s mírem a bezpečností</w:t>
      </w:r>
    </w:p>
    <w:p w:rsidR="0087625A" w:rsidRPr="00CF5B13" w:rsidRDefault="0087625A" w:rsidP="0087625A">
      <w:pPr>
        <w:pStyle w:val="Odstavecseseznamem"/>
        <w:ind w:left="0" w:right="-800"/>
        <w:jc w:val="both"/>
        <w:rPr>
          <w:rFonts w:ascii="Times New Roman" w:hAnsi="Times New Roman" w:cs="Times New Roman"/>
          <w:b/>
          <w:sz w:val="24"/>
          <w:szCs w:val="24"/>
          <w:lang w:val="cs-CZ"/>
        </w:rPr>
      </w:pPr>
    </w:p>
    <w:tbl>
      <w:tblPr>
        <w:tblStyle w:val="Mkatabulky"/>
        <w:tblW w:w="10348" w:type="dxa"/>
        <w:tblInd w:w="-147" w:type="dxa"/>
        <w:tblLook w:val="04A0" w:firstRow="1" w:lastRow="0" w:firstColumn="1" w:lastColumn="0" w:noHBand="0" w:noVBand="1"/>
      </w:tblPr>
      <w:tblGrid>
        <w:gridCol w:w="6883"/>
        <w:gridCol w:w="132"/>
        <w:gridCol w:w="3333"/>
      </w:tblGrid>
      <w:tr w:rsidR="00806259" w:rsidRPr="00CF5B13" w:rsidTr="002424A5">
        <w:trPr>
          <w:trHeight w:val="615"/>
        </w:trPr>
        <w:tc>
          <w:tcPr>
            <w:tcW w:w="6883" w:type="dxa"/>
          </w:tcPr>
          <w:p w:rsidR="00806259" w:rsidRPr="00CF5B13" w:rsidRDefault="00806259" w:rsidP="00806259">
            <w:pPr>
              <w:pStyle w:val="Odstavecseseznamem"/>
              <w:ind w:left="0"/>
              <w:jc w:val="both"/>
              <w:rPr>
                <w:rFonts w:ascii="Times New Roman" w:hAnsi="Times New Roman" w:cs="Times New Roman"/>
                <w:b/>
                <w:i/>
                <w:sz w:val="24"/>
                <w:szCs w:val="24"/>
                <w:lang w:val="cs-CZ"/>
              </w:rPr>
            </w:pPr>
            <w:r w:rsidRPr="00CF5B13">
              <w:rPr>
                <w:rFonts w:ascii="Times New Roman" w:hAnsi="Times New Roman" w:cs="Times New Roman"/>
                <w:b/>
                <w:i/>
                <w:sz w:val="24"/>
                <w:szCs w:val="24"/>
                <w:lang w:val="cs-CZ"/>
              </w:rPr>
              <w:t>Opatření</w:t>
            </w:r>
          </w:p>
          <w:p w:rsidR="00017D27" w:rsidRPr="00CF5B13" w:rsidRDefault="00017D27" w:rsidP="002424A5">
            <w:pPr>
              <w:pStyle w:val="Odstavecseseznamem"/>
              <w:ind w:left="0"/>
              <w:jc w:val="both"/>
              <w:rPr>
                <w:rFonts w:ascii="Times New Roman" w:hAnsi="Times New Roman" w:cs="Times New Roman"/>
                <w:b/>
                <w:i/>
                <w:sz w:val="24"/>
                <w:szCs w:val="24"/>
                <w:lang w:val="cs-CZ"/>
              </w:rPr>
            </w:pPr>
            <w:r w:rsidRPr="00CF5B13">
              <w:rPr>
                <w:rFonts w:ascii="Times New Roman" w:hAnsi="Times New Roman" w:cs="Times New Roman"/>
                <w:b/>
                <w:i/>
                <w:sz w:val="24"/>
                <w:szCs w:val="24"/>
                <w:lang w:val="cs-CZ"/>
              </w:rPr>
              <w:t>(Odpovědná instituce/spolupracující instituce)</w:t>
            </w:r>
          </w:p>
        </w:tc>
        <w:tc>
          <w:tcPr>
            <w:tcW w:w="3465" w:type="dxa"/>
            <w:gridSpan w:val="2"/>
          </w:tcPr>
          <w:p w:rsidR="00806259" w:rsidRPr="00CF5B13" w:rsidRDefault="00017D27" w:rsidP="00017D27">
            <w:pPr>
              <w:pStyle w:val="Odstavecseseznamem"/>
              <w:ind w:left="0"/>
              <w:rPr>
                <w:rFonts w:ascii="Times New Roman" w:hAnsi="Times New Roman" w:cs="Times New Roman"/>
                <w:b/>
                <w:i/>
                <w:sz w:val="24"/>
                <w:szCs w:val="24"/>
                <w:lang w:val="cs-CZ"/>
              </w:rPr>
            </w:pPr>
            <w:r w:rsidRPr="00CF5B13">
              <w:rPr>
                <w:rFonts w:ascii="Times New Roman" w:hAnsi="Times New Roman" w:cs="Times New Roman"/>
                <w:b/>
                <w:i/>
                <w:sz w:val="24"/>
                <w:szCs w:val="24"/>
                <w:lang w:val="cs-CZ"/>
              </w:rPr>
              <w:t>Vyhodnocení plnění opatření</w:t>
            </w:r>
          </w:p>
        </w:tc>
      </w:tr>
      <w:tr w:rsidR="00806259" w:rsidRPr="00412C4E" w:rsidTr="00D23034">
        <w:tc>
          <w:tcPr>
            <w:tcW w:w="6883" w:type="dxa"/>
          </w:tcPr>
          <w:p w:rsidR="00017D27" w:rsidRPr="00CF5B13" w:rsidRDefault="005C2738" w:rsidP="005C2738">
            <w:pPr>
              <w:ind w:left="30"/>
              <w:rPr>
                <w:rFonts w:ascii="Times New Roman" w:eastAsia="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t xml:space="preserve">1.1 </w:t>
            </w:r>
            <w:r w:rsidR="00806259" w:rsidRPr="00CF5B13">
              <w:rPr>
                <w:rFonts w:ascii="Times New Roman" w:eastAsia="Times New Roman" w:hAnsi="Times New Roman" w:cs="Times New Roman"/>
                <w:b/>
                <w:color w:val="4472C4" w:themeColor="accent5"/>
                <w:sz w:val="24"/>
                <w:szCs w:val="24"/>
                <w:lang w:val="cs-CZ"/>
              </w:rPr>
              <w:t>Zadat studii na téma vní</w:t>
            </w:r>
            <w:r w:rsidR="004621AB" w:rsidRPr="00CF5B13">
              <w:rPr>
                <w:rFonts w:ascii="Times New Roman" w:eastAsia="Times New Roman" w:hAnsi="Times New Roman" w:cs="Times New Roman"/>
                <w:b/>
                <w:color w:val="4472C4" w:themeColor="accent5"/>
                <w:sz w:val="24"/>
                <w:szCs w:val="24"/>
                <w:lang w:val="cs-CZ"/>
              </w:rPr>
              <w:t xml:space="preserve">mání bezpečnosti u obyvatelstva </w:t>
            </w:r>
            <w:r w:rsidR="00806259" w:rsidRPr="00CF5B13">
              <w:rPr>
                <w:rFonts w:ascii="Times New Roman" w:eastAsia="Times New Roman" w:hAnsi="Times New Roman" w:cs="Times New Roman"/>
                <w:b/>
                <w:color w:val="4472C4" w:themeColor="accent5"/>
                <w:sz w:val="24"/>
                <w:szCs w:val="24"/>
                <w:lang w:val="cs-CZ"/>
              </w:rPr>
              <w:t>ČR.</w:t>
            </w:r>
            <w:r w:rsidRPr="00CF5B13">
              <w:rPr>
                <w:rFonts w:ascii="Times New Roman" w:eastAsia="Times New Roman" w:hAnsi="Times New Roman" w:cs="Times New Roman"/>
                <w:b/>
                <w:color w:val="4472C4" w:themeColor="accent5"/>
                <w:sz w:val="24"/>
                <w:szCs w:val="24"/>
                <w:lang w:val="cs-CZ"/>
              </w:rPr>
              <w:t xml:space="preserve"> </w:t>
            </w:r>
            <w:r w:rsidR="00017D27" w:rsidRPr="00CF5B13">
              <w:rPr>
                <w:rFonts w:ascii="Times New Roman" w:hAnsi="Times New Roman" w:cs="Times New Roman"/>
                <w:b/>
                <w:color w:val="4472C4" w:themeColor="accent5"/>
                <w:sz w:val="24"/>
                <w:szCs w:val="24"/>
                <w:lang w:val="cs-CZ"/>
              </w:rPr>
              <w:t>(MZV/MO,</w:t>
            </w:r>
            <w:r w:rsidR="00FF1863" w:rsidRPr="00CF5B13">
              <w:rPr>
                <w:rFonts w:ascii="Times New Roman" w:hAnsi="Times New Roman" w:cs="Times New Roman"/>
                <w:b/>
                <w:color w:val="4472C4" w:themeColor="accent5"/>
                <w:sz w:val="24"/>
                <w:szCs w:val="24"/>
                <w:lang w:val="cs-CZ"/>
              </w:rPr>
              <w:t xml:space="preserve"> </w:t>
            </w:r>
            <w:r w:rsidR="00017D27" w:rsidRPr="00CF5B13">
              <w:rPr>
                <w:rFonts w:ascii="Times New Roman" w:hAnsi="Times New Roman" w:cs="Times New Roman"/>
                <w:b/>
                <w:color w:val="4472C4" w:themeColor="accent5"/>
                <w:sz w:val="24"/>
                <w:szCs w:val="24"/>
                <w:lang w:val="cs-CZ"/>
              </w:rPr>
              <w:t>MV)</w:t>
            </w:r>
          </w:p>
        </w:tc>
        <w:tc>
          <w:tcPr>
            <w:tcW w:w="3465" w:type="dxa"/>
            <w:gridSpan w:val="2"/>
          </w:tcPr>
          <w:p w:rsidR="009A5EBA" w:rsidRPr="00CF5B13" w:rsidRDefault="009A5EBA" w:rsidP="009A5EBA">
            <w:pPr>
              <w:pStyle w:val="Odstavecseseznamem"/>
              <w:ind w:left="0"/>
              <w:rPr>
                <w:rFonts w:ascii="Times New Roman" w:hAnsi="Times New Roman" w:cs="Times New Roman"/>
                <w:b/>
                <w:color w:val="4472C4" w:themeColor="accent5"/>
                <w:sz w:val="24"/>
                <w:szCs w:val="24"/>
                <w:lang w:val="cs-CZ"/>
              </w:rPr>
            </w:pPr>
            <w:r w:rsidRPr="00CF5B13">
              <w:rPr>
                <w:rFonts w:ascii="Times New Roman" w:hAnsi="Times New Roman" w:cs="Times New Roman"/>
                <w:b/>
                <w:color w:val="4472C4" w:themeColor="accent5"/>
                <w:sz w:val="24"/>
                <w:szCs w:val="24"/>
                <w:lang w:val="cs-CZ"/>
              </w:rPr>
              <w:t>Prozatím nesplněno</w:t>
            </w:r>
          </w:p>
          <w:p w:rsidR="00017D27" w:rsidRPr="00CF5B13" w:rsidRDefault="009A5EBA" w:rsidP="009A5EBA">
            <w:pPr>
              <w:pStyle w:val="Odstavecseseznamem"/>
              <w:ind w:left="0"/>
              <w:rPr>
                <w:rFonts w:ascii="Times New Roman" w:hAnsi="Times New Roman" w:cs="Times New Roman"/>
                <w:color w:val="4472C4" w:themeColor="accent5"/>
                <w:sz w:val="24"/>
                <w:szCs w:val="24"/>
                <w:lang w:val="cs-CZ"/>
              </w:rPr>
            </w:pPr>
            <w:r w:rsidRPr="00CF5B13">
              <w:rPr>
                <w:rFonts w:ascii="Times New Roman" w:hAnsi="Times New Roman" w:cs="Times New Roman"/>
                <w:color w:val="4472C4" w:themeColor="accent5"/>
                <w:sz w:val="24"/>
                <w:szCs w:val="24"/>
                <w:lang w:val="cs-CZ"/>
              </w:rPr>
              <w:t>Plnění proběhne v následujícím období</w:t>
            </w:r>
          </w:p>
        </w:tc>
      </w:tr>
      <w:tr w:rsidR="00806259" w:rsidRPr="00412C4E" w:rsidTr="00D23034">
        <w:tc>
          <w:tcPr>
            <w:tcW w:w="10348" w:type="dxa"/>
            <w:gridSpan w:val="3"/>
          </w:tcPr>
          <w:p w:rsidR="00F73CAC" w:rsidRPr="00CF5B13" w:rsidRDefault="009A5EBA" w:rsidP="003D34ED">
            <w:pPr>
              <w:pStyle w:val="Odstavecseseznamem"/>
              <w:spacing w:before="60"/>
              <w:ind w:left="0"/>
              <w:jc w:val="both"/>
              <w:rPr>
                <w:rFonts w:ascii="Times New Roman" w:hAnsi="Times New Roman" w:cs="Times New Roman"/>
                <w:sz w:val="24"/>
                <w:szCs w:val="24"/>
                <w:lang w:val="cs-CZ"/>
              </w:rPr>
            </w:pPr>
            <w:r w:rsidRPr="00CF5B13">
              <w:rPr>
                <w:rFonts w:ascii="Times New Roman" w:hAnsi="Times New Roman" w:cs="Times New Roman"/>
                <w:sz w:val="24"/>
                <w:szCs w:val="24"/>
                <w:lang w:val="cs-CZ"/>
              </w:rPr>
              <w:t xml:space="preserve">Studie bude navržena ve spolupráci s nevládním a akademickým sektorem. Téma se zaměří na vnímání bezpečnosti v evropském prostoru, </w:t>
            </w:r>
            <w:r w:rsidR="00973672" w:rsidRPr="00CF5B13">
              <w:rPr>
                <w:rFonts w:ascii="Times New Roman" w:hAnsi="Times New Roman" w:cs="Times New Roman"/>
                <w:sz w:val="24"/>
                <w:szCs w:val="24"/>
                <w:lang w:val="cs-CZ"/>
              </w:rPr>
              <w:t>zejm. v kontextu aktuálních globálních výzev (Rusko jako hrozba, energetická bezpečnost, důsledky pandemie COVID-19, environmentální bezpečnost, aj.)</w:t>
            </w:r>
            <w:r w:rsidRPr="00CF5B13">
              <w:rPr>
                <w:rFonts w:ascii="Times New Roman" w:hAnsi="Times New Roman" w:cs="Times New Roman"/>
                <w:sz w:val="24"/>
                <w:szCs w:val="24"/>
                <w:lang w:val="cs-CZ"/>
              </w:rPr>
              <w:t>,</w:t>
            </w:r>
            <w:r w:rsidR="006D1356" w:rsidRPr="00CF5B13">
              <w:rPr>
                <w:rFonts w:ascii="Times New Roman" w:hAnsi="Times New Roman" w:cs="Times New Roman"/>
                <w:sz w:val="24"/>
                <w:szCs w:val="24"/>
                <w:lang w:val="cs-CZ"/>
              </w:rPr>
              <w:t xml:space="preserve"> se zahrnutím genderových aspektů bezpečnosti, na</w:t>
            </w:r>
            <w:r w:rsidRPr="00CF5B13">
              <w:rPr>
                <w:rFonts w:ascii="Times New Roman" w:hAnsi="Times New Roman" w:cs="Times New Roman"/>
                <w:sz w:val="24"/>
                <w:szCs w:val="24"/>
                <w:lang w:val="cs-CZ"/>
              </w:rPr>
              <w:t xml:space="preserve"> dů</w:t>
            </w:r>
            <w:r w:rsidR="006D1356" w:rsidRPr="00CF5B13">
              <w:rPr>
                <w:rFonts w:ascii="Times New Roman" w:hAnsi="Times New Roman" w:cs="Times New Roman"/>
                <w:sz w:val="24"/>
                <w:szCs w:val="24"/>
                <w:lang w:val="cs-CZ"/>
              </w:rPr>
              <w:t>ležitost obranyschopnosti státu či na</w:t>
            </w:r>
            <w:r w:rsidRPr="00CF5B13">
              <w:rPr>
                <w:rFonts w:ascii="Times New Roman" w:hAnsi="Times New Roman" w:cs="Times New Roman"/>
                <w:sz w:val="24"/>
                <w:szCs w:val="24"/>
                <w:lang w:val="cs-CZ"/>
              </w:rPr>
              <w:t xml:space="preserve"> </w:t>
            </w:r>
            <w:r w:rsidR="00973672" w:rsidRPr="00CF5B13">
              <w:rPr>
                <w:rFonts w:ascii="Times New Roman" w:hAnsi="Times New Roman" w:cs="Times New Roman"/>
                <w:sz w:val="24"/>
                <w:szCs w:val="24"/>
                <w:lang w:val="cs-CZ"/>
              </w:rPr>
              <w:t xml:space="preserve">bezpečnostní dimenzi </w:t>
            </w:r>
            <w:r w:rsidRPr="00CF5B13">
              <w:rPr>
                <w:rFonts w:ascii="Times New Roman" w:hAnsi="Times New Roman" w:cs="Times New Roman"/>
                <w:sz w:val="24"/>
                <w:szCs w:val="24"/>
                <w:lang w:val="cs-CZ"/>
              </w:rPr>
              <w:t>členství ČR v</w:t>
            </w:r>
            <w:r w:rsidR="00973672" w:rsidRPr="00CF5B13">
              <w:rPr>
                <w:rFonts w:ascii="Times New Roman" w:hAnsi="Times New Roman" w:cs="Times New Roman"/>
                <w:sz w:val="24"/>
                <w:szCs w:val="24"/>
                <w:lang w:val="cs-CZ"/>
              </w:rPr>
              <w:t> EU a</w:t>
            </w:r>
            <w:r w:rsidR="006D1356" w:rsidRPr="00CF5B13">
              <w:rPr>
                <w:rFonts w:ascii="Times New Roman" w:hAnsi="Times New Roman" w:cs="Times New Roman"/>
                <w:sz w:val="24"/>
                <w:szCs w:val="24"/>
                <w:lang w:val="cs-CZ"/>
              </w:rPr>
              <w:t> NATO</w:t>
            </w:r>
            <w:r w:rsidRPr="00CF5B13">
              <w:rPr>
                <w:rFonts w:ascii="Times New Roman" w:hAnsi="Times New Roman" w:cs="Times New Roman"/>
                <w:sz w:val="24"/>
                <w:szCs w:val="24"/>
                <w:lang w:val="cs-CZ"/>
              </w:rPr>
              <w:t>.</w:t>
            </w:r>
          </w:p>
          <w:p w:rsidR="00C8127E" w:rsidRPr="00CF5B13" w:rsidRDefault="00C8127E" w:rsidP="009A5EBA">
            <w:pPr>
              <w:pStyle w:val="Odstavecseseznamem"/>
              <w:ind w:left="0"/>
              <w:jc w:val="both"/>
              <w:rPr>
                <w:rFonts w:ascii="Times New Roman" w:hAnsi="Times New Roman" w:cs="Times New Roman"/>
                <w:sz w:val="24"/>
                <w:szCs w:val="24"/>
                <w:lang w:val="cs-CZ"/>
              </w:rPr>
            </w:pPr>
          </w:p>
        </w:tc>
      </w:tr>
      <w:tr w:rsidR="00806259" w:rsidRPr="00CF5B13" w:rsidTr="00D23034">
        <w:tc>
          <w:tcPr>
            <w:tcW w:w="6883" w:type="dxa"/>
          </w:tcPr>
          <w:p w:rsidR="003D34ED" w:rsidRPr="00CF5B13" w:rsidRDefault="00806259" w:rsidP="00C8127E">
            <w:pPr>
              <w:pStyle w:val="Odstavecseseznamem"/>
              <w:numPr>
                <w:ilvl w:val="1"/>
                <w:numId w:val="10"/>
              </w:numPr>
              <w:spacing w:after="240"/>
              <w:ind w:left="492"/>
              <w:jc w:val="both"/>
              <w:rPr>
                <w:rFonts w:ascii="Times New Roman" w:eastAsia="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t>Realizovat interní šetření zaměřené na zjištění motivací a bariér mladších generací ve vztahu k práci v Armádě ČR a v Policii ČR a účasti na zahraničních misích, na jehož základě budou formulována doporučení na podporu zájmu žen a dívek o práci v Armádě ČR a v Policii ČR a vysílání žen do zahraničních misí.</w:t>
            </w:r>
            <w:r w:rsidR="004621AB" w:rsidRPr="00CF5B13">
              <w:rPr>
                <w:rFonts w:ascii="Times New Roman" w:eastAsia="Times New Roman" w:hAnsi="Times New Roman" w:cs="Times New Roman"/>
                <w:b/>
                <w:color w:val="4472C4" w:themeColor="accent5"/>
                <w:sz w:val="24"/>
                <w:szCs w:val="24"/>
                <w:lang w:val="cs-CZ"/>
              </w:rPr>
              <w:t xml:space="preserve"> </w:t>
            </w:r>
          </w:p>
          <w:p w:rsidR="00C8127E" w:rsidRPr="00CF5B13" w:rsidRDefault="004621AB" w:rsidP="003D34ED">
            <w:pPr>
              <w:pStyle w:val="Odstavecseseznamem"/>
              <w:spacing w:after="240"/>
              <w:ind w:left="492"/>
              <w:jc w:val="both"/>
              <w:rPr>
                <w:rFonts w:ascii="Times New Roman" w:eastAsia="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t>(MO, MV, MSP)</w:t>
            </w:r>
          </w:p>
        </w:tc>
        <w:tc>
          <w:tcPr>
            <w:tcW w:w="3465" w:type="dxa"/>
            <w:gridSpan w:val="2"/>
          </w:tcPr>
          <w:p w:rsidR="00017D27" w:rsidRPr="00CF5B13" w:rsidRDefault="003616F7" w:rsidP="00696410">
            <w:pPr>
              <w:pStyle w:val="Odstavecseseznamem"/>
              <w:ind w:left="0"/>
              <w:rPr>
                <w:rFonts w:ascii="Times New Roman" w:hAnsi="Times New Roman" w:cs="Times New Roman"/>
                <w:color w:val="4472C4" w:themeColor="accent5"/>
                <w:sz w:val="24"/>
                <w:szCs w:val="24"/>
                <w:lang w:val="cs-CZ"/>
              </w:rPr>
            </w:pPr>
            <w:r w:rsidRPr="00CF5B13">
              <w:rPr>
                <w:rFonts w:ascii="Times New Roman" w:hAnsi="Times New Roman" w:cs="Times New Roman"/>
                <w:b/>
                <w:color w:val="4472C4" w:themeColor="accent5"/>
                <w:sz w:val="24"/>
                <w:szCs w:val="24"/>
                <w:lang w:val="cs-CZ"/>
              </w:rPr>
              <w:t xml:space="preserve"> </w:t>
            </w:r>
            <w:r w:rsidR="009A5EBA" w:rsidRPr="00CF5B13">
              <w:rPr>
                <w:rFonts w:ascii="Times New Roman" w:hAnsi="Times New Roman" w:cs="Times New Roman"/>
                <w:b/>
                <w:color w:val="4472C4" w:themeColor="accent5"/>
                <w:sz w:val="24"/>
                <w:szCs w:val="24"/>
                <w:lang w:val="cs-CZ"/>
              </w:rPr>
              <w:t>Plněno průběžně</w:t>
            </w:r>
          </w:p>
        </w:tc>
      </w:tr>
      <w:tr w:rsidR="00806259" w:rsidRPr="00412C4E" w:rsidTr="00D23034">
        <w:tc>
          <w:tcPr>
            <w:tcW w:w="10348" w:type="dxa"/>
            <w:gridSpan w:val="3"/>
          </w:tcPr>
          <w:p w:rsidR="009A5EBA" w:rsidRPr="00CF5B13" w:rsidRDefault="009A5EBA" w:rsidP="003D34ED">
            <w:pPr>
              <w:pStyle w:val="Odstavecseseznamem"/>
              <w:numPr>
                <w:ilvl w:val="0"/>
                <w:numId w:val="11"/>
              </w:numPr>
              <w:spacing w:before="120" w:after="100" w:afterAutospacing="1"/>
              <w:rPr>
                <w:rFonts w:ascii="Times New Roman" w:hAnsi="Times New Roman" w:cs="Times New Roman"/>
                <w:b/>
                <w:sz w:val="24"/>
                <w:szCs w:val="24"/>
                <w:u w:val="single"/>
                <w:lang w:val="cs-CZ"/>
              </w:rPr>
            </w:pPr>
            <w:r w:rsidRPr="00CF5B13">
              <w:rPr>
                <w:rFonts w:ascii="Times New Roman" w:hAnsi="Times New Roman" w:cs="Times New Roman"/>
                <w:b/>
                <w:sz w:val="24"/>
                <w:szCs w:val="24"/>
                <w:u w:val="single"/>
                <w:lang w:val="cs-CZ"/>
              </w:rPr>
              <w:t>Ministerstvo obrany</w:t>
            </w:r>
          </w:p>
          <w:p w:rsidR="008644C1" w:rsidRPr="00CF5B13" w:rsidRDefault="008644C1" w:rsidP="008644C1">
            <w:pPr>
              <w:pStyle w:val="Odstavecseseznamem"/>
              <w:spacing w:before="120"/>
              <w:ind w:left="0"/>
              <w:jc w:val="both"/>
              <w:rPr>
                <w:rFonts w:ascii="Times New Roman" w:hAnsi="Times New Roman" w:cs="Times New Roman"/>
                <w:sz w:val="24"/>
                <w:szCs w:val="24"/>
                <w:lang w:val="cs-CZ"/>
              </w:rPr>
            </w:pPr>
          </w:p>
          <w:p w:rsidR="009A5EBA" w:rsidRPr="00CF5B13" w:rsidRDefault="009A5EBA" w:rsidP="008644C1">
            <w:pPr>
              <w:pStyle w:val="Odstavecseseznamem"/>
              <w:spacing w:before="120"/>
              <w:ind w:left="0"/>
              <w:jc w:val="both"/>
              <w:rPr>
                <w:rFonts w:ascii="Times New Roman" w:hAnsi="Times New Roman" w:cs="Times New Roman"/>
                <w:sz w:val="24"/>
                <w:szCs w:val="24"/>
                <w:lang w:val="cs-CZ"/>
              </w:rPr>
            </w:pPr>
            <w:r w:rsidRPr="00CF5B13">
              <w:rPr>
                <w:rFonts w:ascii="Times New Roman" w:hAnsi="Times New Roman" w:cs="Times New Roman"/>
                <w:sz w:val="24"/>
                <w:szCs w:val="24"/>
                <w:lang w:val="cs-CZ"/>
              </w:rPr>
              <w:t>Základní informace k výzkumu „</w:t>
            </w:r>
            <w:r w:rsidRPr="00CF5B13">
              <w:rPr>
                <w:rFonts w:ascii="Times New Roman" w:hAnsi="Times New Roman" w:cs="Times New Roman"/>
                <w:i/>
                <w:sz w:val="24"/>
                <w:szCs w:val="24"/>
                <w:lang w:val="cs-CZ"/>
              </w:rPr>
              <w:t>Motivace k vojenskému povolání</w:t>
            </w:r>
            <w:r w:rsidRPr="00CF5B13">
              <w:rPr>
                <w:rFonts w:ascii="Times New Roman" w:hAnsi="Times New Roman" w:cs="Times New Roman"/>
                <w:sz w:val="24"/>
                <w:szCs w:val="24"/>
                <w:lang w:val="cs-CZ"/>
              </w:rPr>
              <w:t>“:</w:t>
            </w:r>
          </w:p>
          <w:p w:rsidR="003A7732" w:rsidRPr="00CF5B13" w:rsidRDefault="009A5EBA" w:rsidP="009A5EBA">
            <w:pPr>
              <w:pStyle w:val="Odstavecseseznamem"/>
              <w:ind w:left="0"/>
              <w:jc w:val="both"/>
              <w:rPr>
                <w:rFonts w:ascii="Times New Roman" w:hAnsi="Times New Roman" w:cs="Times New Roman"/>
                <w:sz w:val="24"/>
                <w:szCs w:val="24"/>
                <w:lang w:val="cs-CZ"/>
              </w:rPr>
            </w:pPr>
            <w:r w:rsidRPr="00CF5B13">
              <w:rPr>
                <w:rFonts w:ascii="Times New Roman" w:hAnsi="Times New Roman" w:cs="Times New Roman"/>
                <w:sz w:val="24"/>
                <w:szCs w:val="24"/>
                <w:lang w:val="cs-CZ"/>
              </w:rPr>
              <w:t xml:space="preserve">Již v 2021 byla v rámci AČR uskutečněna 2. část panelového šetření mezi nastupující generací vojenských profesionálů/profesionálek. Podrobnější analýza této etapy výzkumu zaměřeného na vojáky po 3 letech služby v AČR umožnila porovnat názory mužů a žen na podmínky vojenské služby i plány do budoucna, tedy zejména na motivaci k výkonu práce (1. etapa byla zaměřena na motivaci ke vstupu do armády). </w:t>
            </w:r>
            <w:r w:rsidR="003A7732" w:rsidRPr="00CF5B13">
              <w:rPr>
                <w:rFonts w:ascii="Times New Roman" w:hAnsi="Times New Roman" w:cs="Times New Roman"/>
                <w:sz w:val="24"/>
                <w:szCs w:val="24"/>
                <w:lang w:val="cs-CZ"/>
              </w:rPr>
              <w:t>Analýza dat pracovala s 1315 vyplněnými dotazníky, mezi odpovídajícími bylo 70 žen (15 osob pohlaví neuvedlo):</w:t>
            </w:r>
          </w:p>
          <w:p w:rsidR="003A7732" w:rsidRPr="00CF5B13" w:rsidRDefault="003A7732" w:rsidP="003C620E">
            <w:pPr>
              <w:pStyle w:val="Odstavecseseznamem"/>
              <w:numPr>
                <w:ilvl w:val="0"/>
                <w:numId w:val="13"/>
              </w:numPr>
              <w:jc w:val="both"/>
              <w:rPr>
                <w:rFonts w:ascii="Times New Roman" w:hAnsi="Times New Roman" w:cs="Times New Roman"/>
                <w:sz w:val="24"/>
                <w:szCs w:val="24"/>
                <w:lang w:val="cs-CZ"/>
              </w:rPr>
            </w:pPr>
            <w:r w:rsidRPr="00CF5B13">
              <w:rPr>
                <w:rFonts w:ascii="Times New Roman" w:hAnsi="Times New Roman" w:cs="Times New Roman"/>
                <w:sz w:val="24"/>
                <w:szCs w:val="24"/>
                <w:lang w:val="cs-CZ"/>
              </w:rPr>
              <w:t>Se služebním zařazením je spokojeno 83 % dotazovaných žen, zůstat v AČR tedy chtějí                  i některé z vojákyň, které v současné době nejsou zcela spokojeny se svou pracovní pozicí či zařazením. Pro ty, které neodešly v prvních třech letech, služba v armádě přes dílčí nespokojenost stále znamená atraktivní nebo minimálně akceptované profesní uplatnění (to platí ve stejné míře i pro muže). Přesto ale 34 % odpovídajících (žen 37 %) uvádí, že se jejich názor na armádu v průběhu služby zhoršil. Na druhé straně se vojáci i vojákyně téměř bezvýhradně cítí být bez problémů přijati svou jednotkou.</w:t>
            </w:r>
          </w:p>
          <w:p w:rsidR="003A7732" w:rsidRPr="00CF5B13" w:rsidRDefault="003A7732" w:rsidP="003C620E">
            <w:pPr>
              <w:pStyle w:val="Odstavecseseznamem"/>
              <w:numPr>
                <w:ilvl w:val="0"/>
                <w:numId w:val="13"/>
              </w:numPr>
              <w:jc w:val="both"/>
              <w:rPr>
                <w:rFonts w:ascii="Times New Roman" w:hAnsi="Times New Roman" w:cs="Times New Roman"/>
                <w:sz w:val="24"/>
                <w:szCs w:val="24"/>
                <w:lang w:val="cs-CZ"/>
              </w:rPr>
            </w:pPr>
            <w:r w:rsidRPr="00CF5B13">
              <w:rPr>
                <w:rFonts w:ascii="Times New Roman" w:hAnsi="Times New Roman" w:cs="Times New Roman"/>
                <w:sz w:val="24"/>
                <w:szCs w:val="24"/>
                <w:lang w:val="cs-CZ"/>
              </w:rPr>
              <w:t xml:space="preserve">Z hodnocených pracovních podmínek jsou nejlépe přijímány sociální jistoty a finanční ohodnocení, ale také práce, která baví. Ve všech těchto třech položkách jsou ženy mírně spokojenější než muži. Častěji nalezly vyhovující pracovní dobou, kritičtěji naopak hodnotí možnosti kariérního postupu. Častěji mají možnost vytvářet něco nového, svou práci také vnímají jako užitečnější a prestižnější než muži. Zde je nutné poznamenat, že ženy ve vzorku vstupovaly </w:t>
            </w:r>
            <w:r w:rsidRPr="00CF5B13">
              <w:rPr>
                <w:rFonts w:ascii="Times New Roman" w:hAnsi="Times New Roman" w:cs="Times New Roman"/>
                <w:sz w:val="24"/>
                <w:szCs w:val="24"/>
                <w:lang w:val="cs-CZ"/>
              </w:rPr>
              <w:lastRenderedPageBreak/>
              <w:t xml:space="preserve">do AČR obecně s vyšším vzděláním a ve vyšším věku než muži a tomu pravděpodobně odpovídají </w:t>
            </w:r>
            <w:r w:rsidR="003071D0" w:rsidRPr="00CF5B13">
              <w:rPr>
                <w:rFonts w:ascii="Times New Roman" w:hAnsi="Times New Roman" w:cs="Times New Roman"/>
                <w:sz w:val="24"/>
                <w:szCs w:val="24"/>
                <w:lang w:val="cs-CZ"/>
              </w:rPr>
              <w:t>služební místa, která zastávají;</w:t>
            </w:r>
            <w:r w:rsidRPr="00CF5B13">
              <w:rPr>
                <w:rFonts w:ascii="Times New Roman" w:hAnsi="Times New Roman" w:cs="Times New Roman"/>
                <w:sz w:val="24"/>
                <w:szCs w:val="24"/>
                <w:lang w:val="cs-CZ"/>
              </w:rPr>
              <w:t xml:space="preserve"> gender tedy nebude jedinou proměnnou, která v hodnocení hraje roli. </w:t>
            </w:r>
          </w:p>
          <w:p w:rsidR="003A7732" w:rsidRPr="00CF5B13" w:rsidRDefault="003A7732" w:rsidP="003C620E">
            <w:pPr>
              <w:pStyle w:val="Odstavecseseznamem"/>
              <w:numPr>
                <w:ilvl w:val="0"/>
                <w:numId w:val="13"/>
              </w:numPr>
              <w:jc w:val="both"/>
              <w:rPr>
                <w:rFonts w:ascii="Times New Roman" w:hAnsi="Times New Roman" w:cs="Times New Roman"/>
                <w:sz w:val="24"/>
                <w:szCs w:val="24"/>
              </w:rPr>
            </w:pPr>
            <w:r w:rsidRPr="00CF5B13">
              <w:rPr>
                <w:rFonts w:ascii="Times New Roman" w:hAnsi="Times New Roman" w:cs="Times New Roman"/>
                <w:sz w:val="24"/>
                <w:szCs w:val="24"/>
                <w:lang w:val="cs-CZ"/>
              </w:rPr>
              <w:t xml:space="preserve">Muži a ženy se mezi sebou neliší v podílu těch, kteří ještě nebyli na misi a vyjet by chtěli, ten tvoří 77 %.  Stejně tak si jsou podobní v podílu těch, kteří na misi nebyli a ani po tom netouží (17 %). Rozdíl nalezneme mezi těmi, kteří již na misi byli a chtěli by jet znovu, mezi muži tvoří 8% podíl, mezi ženami 4%. I když rozdíly nejsou s ohledem na počet žen ve vzorku statisticky významné, lze odvozovat, že motivaci účastnit se mise ženy mají stejně silnou jako muži, její realizaci je však pro ně obtížnější naplnit. </w:t>
            </w:r>
            <w:r w:rsidRPr="00CF5B13">
              <w:rPr>
                <w:rFonts w:ascii="Times New Roman" w:hAnsi="Times New Roman" w:cs="Times New Roman"/>
                <w:sz w:val="24"/>
                <w:szCs w:val="24"/>
              </w:rPr>
              <w:t>(Podíl žen v misích je v AČR dlouhodobě 5 %.)</w:t>
            </w:r>
          </w:p>
          <w:p w:rsidR="003A7732" w:rsidRPr="00CF5B13" w:rsidRDefault="003A7732" w:rsidP="001753E8">
            <w:pPr>
              <w:pStyle w:val="Odstavecseseznamem"/>
              <w:numPr>
                <w:ilvl w:val="0"/>
                <w:numId w:val="13"/>
              </w:numPr>
              <w:jc w:val="both"/>
              <w:rPr>
                <w:rFonts w:ascii="Times New Roman" w:hAnsi="Times New Roman" w:cs="Times New Roman"/>
                <w:sz w:val="24"/>
                <w:szCs w:val="24"/>
              </w:rPr>
            </w:pPr>
            <w:r w:rsidRPr="00CF5B13">
              <w:rPr>
                <w:rFonts w:ascii="Times New Roman" w:hAnsi="Times New Roman" w:cs="Times New Roman"/>
                <w:sz w:val="24"/>
                <w:szCs w:val="24"/>
              </w:rPr>
              <w:t>Výsledky ukazují, že AČR funguje jako zaměstnavatel, který nabízí především jistotu a finanční zajištění, ale i naplňující práci mužům i ženám ve svých řadách, kteří/které považují za výhodné či smysluplné zůstat ve služebním poměru i po uplynutí prvních třech let služby. Pokud se ženy (ale i muži) rozhodly pro vojenskou kariéru a do AČR vstoupily, jsou se svou volbou spokojeny a preferují pokračování své vojenské kariéry.</w:t>
            </w:r>
          </w:p>
          <w:p w:rsidR="009A5EBA" w:rsidRPr="00CF5B13" w:rsidRDefault="009A5EBA" w:rsidP="001753E8">
            <w:pPr>
              <w:pStyle w:val="Odstavecseseznamem"/>
              <w:spacing w:before="60"/>
              <w:ind w:left="0"/>
              <w:jc w:val="both"/>
              <w:rPr>
                <w:rFonts w:ascii="Times New Roman" w:hAnsi="Times New Roman" w:cs="Times New Roman"/>
                <w:sz w:val="24"/>
                <w:szCs w:val="24"/>
                <w:lang w:val="cs-CZ"/>
              </w:rPr>
            </w:pPr>
            <w:r w:rsidRPr="00CF5B13">
              <w:rPr>
                <w:rFonts w:ascii="Times New Roman" w:hAnsi="Times New Roman" w:cs="Times New Roman"/>
                <w:sz w:val="24"/>
                <w:szCs w:val="24"/>
                <w:lang w:val="cs-CZ"/>
              </w:rPr>
              <w:t>S ohledem na propojení části výstupů šetření</w:t>
            </w:r>
            <w:r w:rsidRPr="00CF5B13">
              <w:rPr>
                <w:rFonts w:ascii="Times New Roman" w:hAnsi="Times New Roman" w:cs="Times New Roman"/>
                <w:i/>
                <w:sz w:val="24"/>
                <w:szCs w:val="24"/>
                <w:lang w:val="cs-CZ"/>
              </w:rPr>
              <w:t xml:space="preserve"> </w:t>
            </w:r>
            <w:r w:rsidRPr="00CF5B13">
              <w:rPr>
                <w:rFonts w:ascii="Times New Roman" w:hAnsi="Times New Roman" w:cs="Times New Roman"/>
                <w:sz w:val="24"/>
                <w:szCs w:val="24"/>
                <w:lang w:val="cs-CZ"/>
              </w:rPr>
              <w:t>(za účelem mezi</w:t>
            </w:r>
            <w:r w:rsidR="00047ED7" w:rsidRPr="00CF5B13">
              <w:rPr>
                <w:rFonts w:ascii="Times New Roman" w:hAnsi="Times New Roman" w:cs="Times New Roman"/>
                <w:sz w:val="24"/>
                <w:szCs w:val="24"/>
                <w:lang w:val="cs-CZ"/>
              </w:rPr>
              <w:t>resort</w:t>
            </w:r>
            <w:r w:rsidRPr="00CF5B13">
              <w:rPr>
                <w:rFonts w:ascii="Times New Roman" w:hAnsi="Times New Roman" w:cs="Times New Roman"/>
                <w:sz w:val="24"/>
                <w:szCs w:val="24"/>
                <w:lang w:val="cs-CZ"/>
              </w:rPr>
              <w:t xml:space="preserve">ního srovnání) byla navázána spolupráce mezi zástupci MO, MV a MSP.  </w:t>
            </w:r>
          </w:p>
          <w:p w:rsidR="003A7732" w:rsidRPr="00CF5B13" w:rsidRDefault="003A7732" w:rsidP="009A5EBA">
            <w:pPr>
              <w:pStyle w:val="Odstavecseseznamem"/>
              <w:ind w:left="0"/>
              <w:jc w:val="both"/>
              <w:rPr>
                <w:rFonts w:ascii="Times New Roman" w:hAnsi="Times New Roman" w:cs="Times New Roman"/>
                <w:sz w:val="24"/>
                <w:szCs w:val="24"/>
                <w:lang w:val="cs-CZ"/>
              </w:rPr>
            </w:pPr>
          </w:p>
          <w:p w:rsidR="003A7732" w:rsidRPr="00CF5B13" w:rsidRDefault="003A7732" w:rsidP="001753E8">
            <w:pPr>
              <w:pStyle w:val="Odstavecseseznamem"/>
              <w:numPr>
                <w:ilvl w:val="0"/>
                <w:numId w:val="4"/>
              </w:numPr>
              <w:jc w:val="both"/>
              <w:rPr>
                <w:rFonts w:ascii="Times New Roman" w:hAnsi="Times New Roman" w:cs="Times New Roman"/>
                <w:b/>
                <w:sz w:val="24"/>
                <w:szCs w:val="24"/>
                <w:u w:val="single"/>
                <w:lang w:val="cs-CZ"/>
              </w:rPr>
            </w:pPr>
            <w:r w:rsidRPr="00CF5B13">
              <w:rPr>
                <w:rFonts w:ascii="Times New Roman" w:hAnsi="Times New Roman" w:cs="Times New Roman"/>
                <w:b/>
                <w:sz w:val="24"/>
                <w:szCs w:val="24"/>
                <w:u w:val="single"/>
                <w:lang w:val="cs-CZ"/>
              </w:rPr>
              <w:t>Ministerstvo vnitra</w:t>
            </w:r>
          </w:p>
          <w:p w:rsidR="003A7732" w:rsidRPr="00CF5B13" w:rsidRDefault="003A7732" w:rsidP="001753E8">
            <w:pPr>
              <w:pStyle w:val="Odstavecseseznamem"/>
              <w:ind w:left="1080"/>
              <w:jc w:val="both"/>
              <w:rPr>
                <w:rFonts w:ascii="Times New Roman" w:hAnsi="Times New Roman" w:cs="Times New Roman"/>
                <w:sz w:val="24"/>
                <w:szCs w:val="24"/>
                <w:lang w:val="cs-CZ"/>
              </w:rPr>
            </w:pPr>
          </w:p>
          <w:p w:rsidR="00316B7D" w:rsidRPr="00CF5B13" w:rsidRDefault="00316B7D" w:rsidP="001753E8">
            <w:pPr>
              <w:pStyle w:val="Odstavecseseznamem"/>
              <w:ind w:left="0"/>
              <w:jc w:val="both"/>
              <w:rPr>
                <w:rFonts w:ascii="Times New Roman" w:hAnsi="Times New Roman" w:cs="Times New Roman"/>
                <w:sz w:val="24"/>
                <w:szCs w:val="24"/>
                <w:lang w:val="cs-CZ"/>
              </w:rPr>
            </w:pPr>
            <w:r w:rsidRPr="00CF5B13">
              <w:rPr>
                <w:rFonts w:ascii="Times New Roman" w:hAnsi="Times New Roman" w:cs="Times New Roman"/>
                <w:sz w:val="24"/>
                <w:szCs w:val="24"/>
                <w:lang w:val="cs-CZ"/>
              </w:rPr>
              <w:t xml:space="preserve">Proběhla příprava </w:t>
            </w:r>
            <w:r w:rsidR="008644C1" w:rsidRPr="00CF5B13">
              <w:rPr>
                <w:rFonts w:ascii="Times New Roman" w:hAnsi="Times New Roman" w:cs="Times New Roman"/>
                <w:sz w:val="24"/>
                <w:szCs w:val="24"/>
                <w:lang w:val="cs-CZ"/>
              </w:rPr>
              <w:t xml:space="preserve">k internímu šetření a </w:t>
            </w:r>
            <w:r w:rsidRPr="00CF5B13">
              <w:rPr>
                <w:rFonts w:ascii="Times New Roman" w:hAnsi="Times New Roman" w:cs="Times New Roman"/>
                <w:sz w:val="24"/>
                <w:szCs w:val="24"/>
                <w:lang w:val="cs-CZ"/>
              </w:rPr>
              <w:t>dochází ke stanovení způsobu</w:t>
            </w:r>
            <w:r w:rsidR="008644C1" w:rsidRPr="00CF5B13">
              <w:rPr>
                <w:rFonts w:ascii="Times New Roman" w:hAnsi="Times New Roman" w:cs="Times New Roman"/>
                <w:sz w:val="24"/>
                <w:szCs w:val="24"/>
                <w:lang w:val="cs-CZ"/>
              </w:rPr>
              <w:t xml:space="preserve"> jeho</w:t>
            </w:r>
            <w:r w:rsidRPr="00CF5B13">
              <w:rPr>
                <w:rFonts w:ascii="Times New Roman" w:hAnsi="Times New Roman" w:cs="Times New Roman"/>
                <w:sz w:val="24"/>
                <w:szCs w:val="24"/>
                <w:lang w:val="cs-CZ"/>
              </w:rPr>
              <w:t xml:space="preserve"> realizace.</w:t>
            </w:r>
          </w:p>
          <w:p w:rsidR="003A7732" w:rsidRPr="00CF5B13" w:rsidRDefault="003A7732" w:rsidP="001753E8">
            <w:pPr>
              <w:pStyle w:val="Odstavecseseznamem"/>
              <w:ind w:left="1080"/>
              <w:jc w:val="both"/>
              <w:rPr>
                <w:rFonts w:ascii="Times New Roman" w:hAnsi="Times New Roman" w:cs="Times New Roman"/>
                <w:sz w:val="24"/>
                <w:szCs w:val="24"/>
                <w:lang w:val="cs-CZ"/>
              </w:rPr>
            </w:pPr>
          </w:p>
          <w:p w:rsidR="003A7732" w:rsidRPr="00CF5B13" w:rsidRDefault="003A7732" w:rsidP="001753E8">
            <w:pPr>
              <w:pStyle w:val="Odstavecseseznamem"/>
              <w:numPr>
                <w:ilvl w:val="0"/>
                <w:numId w:val="4"/>
              </w:numPr>
              <w:rPr>
                <w:rFonts w:ascii="Times New Roman" w:hAnsi="Times New Roman" w:cs="Times New Roman"/>
                <w:b/>
                <w:sz w:val="24"/>
                <w:szCs w:val="24"/>
                <w:u w:val="single"/>
                <w:lang w:val="cs-CZ"/>
              </w:rPr>
            </w:pPr>
            <w:r w:rsidRPr="00CF5B13">
              <w:rPr>
                <w:rFonts w:ascii="Times New Roman" w:hAnsi="Times New Roman" w:cs="Times New Roman"/>
                <w:b/>
                <w:sz w:val="24"/>
                <w:szCs w:val="24"/>
                <w:u w:val="single"/>
                <w:lang w:val="cs-CZ"/>
              </w:rPr>
              <w:t>Ministerstvo spravedlnosti</w:t>
            </w:r>
          </w:p>
          <w:p w:rsidR="003A7732" w:rsidRPr="00CF5B13" w:rsidRDefault="003A7732" w:rsidP="001753E8">
            <w:pPr>
              <w:pStyle w:val="Odstavecseseznamem"/>
              <w:ind w:left="0"/>
              <w:jc w:val="both"/>
              <w:rPr>
                <w:rFonts w:ascii="Times New Roman" w:hAnsi="Times New Roman" w:cs="Times New Roman"/>
                <w:sz w:val="24"/>
                <w:szCs w:val="24"/>
                <w:lang w:val="cs-CZ"/>
              </w:rPr>
            </w:pPr>
          </w:p>
          <w:p w:rsidR="0016285D" w:rsidRPr="00CF5B13" w:rsidRDefault="0016285D" w:rsidP="001753E8">
            <w:pPr>
              <w:pStyle w:val="Odstavecseseznamem"/>
              <w:ind w:left="0"/>
              <w:jc w:val="both"/>
              <w:rPr>
                <w:rFonts w:ascii="Times New Roman" w:hAnsi="Times New Roman" w:cs="Times New Roman"/>
                <w:sz w:val="24"/>
                <w:szCs w:val="24"/>
                <w:lang w:val="cs-CZ"/>
              </w:rPr>
            </w:pPr>
            <w:r w:rsidRPr="00CF5B13">
              <w:rPr>
                <w:rFonts w:ascii="Times New Roman" w:hAnsi="Times New Roman" w:cs="Times New Roman"/>
                <w:sz w:val="24"/>
                <w:szCs w:val="24"/>
                <w:lang w:val="cs-CZ"/>
              </w:rPr>
              <w:t>V roce 2022 probíhala elektronická komunikace a uskutečnilo se též osobní jednání zainteresovaných resortů s cílem prodiskutovat vstupní situaci a co nejvíce sjednotit způsob šetření. MO distribuovalo mezi dotčené resorty své dotazníky používané při obdobných šetřeních, které mají být využity jako podklad pro sestavení resortních dotazníků. MSp již sestavilo prvotní návrh dotazníku k rozeslání v rámci resortu spravedlnosti, dotazník je nyní finalizován a v roce 2023 bude distribuován resortním složkám.</w:t>
            </w:r>
          </w:p>
          <w:p w:rsidR="00F73CAC" w:rsidRPr="00CF5B13" w:rsidRDefault="00F73CAC" w:rsidP="00754418">
            <w:pPr>
              <w:jc w:val="both"/>
              <w:rPr>
                <w:rFonts w:ascii="Times New Roman" w:hAnsi="Times New Roman" w:cs="Times New Roman"/>
                <w:sz w:val="24"/>
                <w:szCs w:val="24"/>
                <w:lang w:val="cs-CZ"/>
              </w:rPr>
            </w:pPr>
          </w:p>
        </w:tc>
      </w:tr>
      <w:tr w:rsidR="00806259" w:rsidRPr="00412C4E" w:rsidTr="004B5E31">
        <w:trPr>
          <w:trHeight w:val="1458"/>
        </w:trPr>
        <w:tc>
          <w:tcPr>
            <w:tcW w:w="6883" w:type="dxa"/>
          </w:tcPr>
          <w:p w:rsidR="00806259" w:rsidRPr="00CF5B13" w:rsidRDefault="005C2738" w:rsidP="00806259">
            <w:pPr>
              <w:pStyle w:val="Odstavecseseznamem"/>
              <w:ind w:left="0"/>
              <w:jc w:val="both"/>
              <w:rPr>
                <w:rFonts w:ascii="Times New Roman" w:eastAsia="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lastRenderedPageBreak/>
              <w:t xml:space="preserve">1.3 </w:t>
            </w:r>
            <w:r w:rsidR="00806259" w:rsidRPr="00CF5B13">
              <w:rPr>
                <w:rFonts w:ascii="Times New Roman" w:eastAsia="Times New Roman" w:hAnsi="Times New Roman" w:cs="Times New Roman"/>
                <w:b/>
                <w:color w:val="4472C4" w:themeColor="accent5"/>
                <w:sz w:val="24"/>
                <w:szCs w:val="24"/>
                <w:lang w:val="cs-CZ"/>
              </w:rPr>
              <w:t>Realizovat interní šetření zaměřené na motivaci rodičů k návratu do služby nebo práce u Policie ČR po rodičovské dovolené, na jehož základě bude aktualizována personální strategie a vytvořen materiál zahrnující příklady dobré praxe</w:t>
            </w:r>
            <w:r w:rsidR="008E25F4" w:rsidRPr="00CF5B13">
              <w:rPr>
                <w:rFonts w:ascii="Times New Roman" w:eastAsia="Times New Roman" w:hAnsi="Times New Roman" w:cs="Times New Roman"/>
                <w:b/>
                <w:color w:val="4472C4" w:themeColor="accent5"/>
                <w:sz w:val="24"/>
                <w:szCs w:val="24"/>
                <w:lang w:val="cs-CZ"/>
              </w:rPr>
              <w:t>.</w:t>
            </w:r>
          </w:p>
          <w:p w:rsidR="008E25F4" w:rsidRPr="00CF5B13" w:rsidRDefault="008E25F4" w:rsidP="00806259">
            <w:pPr>
              <w:pStyle w:val="Odstavecseseznamem"/>
              <w:ind w:left="0"/>
              <w:jc w:val="both"/>
              <w:rPr>
                <w:rFonts w:ascii="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t>(MV)</w:t>
            </w:r>
          </w:p>
        </w:tc>
        <w:tc>
          <w:tcPr>
            <w:tcW w:w="3465" w:type="dxa"/>
            <w:gridSpan w:val="2"/>
          </w:tcPr>
          <w:p w:rsidR="009746C6" w:rsidRPr="00CF5B13" w:rsidRDefault="003616F7" w:rsidP="009746C6">
            <w:pPr>
              <w:rPr>
                <w:rFonts w:ascii="Times New Roman" w:eastAsia="Times New Roman" w:hAnsi="Times New Roman" w:cs="Times New Roman"/>
                <w:b/>
                <w:color w:val="4472C4" w:themeColor="accent5"/>
                <w:sz w:val="24"/>
                <w:szCs w:val="24"/>
                <w:lang w:val="cs-CZ"/>
              </w:rPr>
            </w:pPr>
            <w:r w:rsidRPr="00CF5B13">
              <w:rPr>
                <w:rFonts w:ascii="Times New Roman" w:hAnsi="Times New Roman" w:cs="Times New Roman"/>
                <w:color w:val="4472C4" w:themeColor="accent5"/>
                <w:sz w:val="24"/>
                <w:szCs w:val="24"/>
                <w:lang w:val="cs-CZ"/>
              </w:rPr>
              <w:t xml:space="preserve"> </w:t>
            </w:r>
            <w:r w:rsidR="009746C6" w:rsidRPr="00CF5B13">
              <w:rPr>
                <w:rFonts w:ascii="Times New Roman" w:eastAsia="Times New Roman" w:hAnsi="Times New Roman" w:cs="Times New Roman"/>
                <w:b/>
                <w:color w:val="4472C4" w:themeColor="accent5"/>
                <w:sz w:val="24"/>
                <w:szCs w:val="24"/>
                <w:lang w:val="cs-CZ"/>
              </w:rPr>
              <w:t>Prozatím nesplněno</w:t>
            </w:r>
          </w:p>
          <w:p w:rsidR="00806259" w:rsidRPr="00CF5B13" w:rsidRDefault="009746C6" w:rsidP="009746C6">
            <w:pPr>
              <w:pStyle w:val="Odstavecseseznamem"/>
              <w:ind w:left="0"/>
              <w:rPr>
                <w:rFonts w:ascii="Times New Roman" w:hAnsi="Times New Roman" w:cs="Times New Roman"/>
                <w:color w:val="4472C4" w:themeColor="accent5"/>
                <w:sz w:val="24"/>
                <w:szCs w:val="24"/>
                <w:lang w:val="cs-CZ"/>
              </w:rPr>
            </w:pPr>
            <w:r w:rsidRPr="00CF5B13">
              <w:rPr>
                <w:rFonts w:ascii="Times New Roman" w:eastAsia="Times New Roman" w:hAnsi="Times New Roman" w:cs="Times New Roman"/>
                <w:color w:val="4472C4" w:themeColor="accent5"/>
                <w:sz w:val="24"/>
                <w:szCs w:val="24"/>
                <w:lang w:val="cs-CZ"/>
              </w:rPr>
              <w:t>Plnění proběhne v následujícím období</w:t>
            </w:r>
          </w:p>
        </w:tc>
      </w:tr>
      <w:tr w:rsidR="00806259" w:rsidRPr="00412C4E" w:rsidTr="00D23034">
        <w:tc>
          <w:tcPr>
            <w:tcW w:w="10348" w:type="dxa"/>
            <w:gridSpan w:val="3"/>
          </w:tcPr>
          <w:p w:rsidR="009746C6" w:rsidRPr="00CF5B13" w:rsidRDefault="003616F7" w:rsidP="009746C6">
            <w:pPr>
              <w:pStyle w:val="Odstavecseseznamem"/>
              <w:ind w:left="0"/>
              <w:jc w:val="both"/>
              <w:rPr>
                <w:rFonts w:ascii="Times New Roman" w:hAnsi="Times New Roman" w:cs="Times New Roman"/>
                <w:sz w:val="24"/>
                <w:szCs w:val="24"/>
                <w:lang w:val="cs-CZ"/>
              </w:rPr>
            </w:pPr>
            <w:r w:rsidRPr="00CF5B13">
              <w:rPr>
                <w:rFonts w:ascii="Times New Roman" w:hAnsi="Times New Roman" w:cs="Times New Roman"/>
                <w:sz w:val="24"/>
                <w:szCs w:val="24"/>
                <w:lang w:val="cs-CZ"/>
              </w:rPr>
              <w:t xml:space="preserve"> </w:t>
            </w:r>
            <w:r w:rsidR="003D34ED" w:rsidRPr="00CF5B13">
              <w:rPr>
                <w:rFonts w:ascii="Times New Roman" w:hAnsi="Times New Roman" w:cs="Times New Roman"/>
                <w:sz w:val="24"/>
                <w:szCs w:val="24"/>
                <w:lang w:val="cs-CZ"/>
              </w:rPr>
              <w:t>Proběhla příprava k internímu šetření a dochází ke stanovení způsobu jeho realizace.</w:t>
            </w:r>
          </w:p>
          <w:p w:rsidR="00F73CAC" w:rsidRPr="00CF5B13" w:rsidRDefault="00F73CAC" w:rsidP="00806259">
            <w:pPr>
              <w:pStyle w:val="Odstavecseseznamem"/>
              <w:ind w:left="0"/>
              <w:jc w:val="both"/>
              <w:rPr>
                <w:rFonts w:ascii="Times New Roman" w:hAnsi="Times New Roman" w:cs="Times New Roman"/>
                <w:sz w:val="24"/>
                <w:szCs w:val="24"/>
                <w:lang w:val="cs-CZ"/>
              </w:rPr>
            </w:pPr>
          </w:p>
        </w:tc>
      </w:tr>
      <w:tr w:rsidR="00806259" w:rsidRPr="00CF5B13" w:rsidTr="004B5E31">
        <w:trPr>
          <w:trHeight w:val="726"/>
        </w:trPr>
        <w:tc>
          <w:tcPr>
            <w:tcW w:w="6883" w:type="dxa"/>
          </w:tcPr>
          <w:p w:rsidR="004173FA" w:rsidRPr="00CF5B13" w:rsidRDefault="005C2738" w:rsidP="00806259">
            <w:pPr>
              <w:pStyle w:val="Odstavecseseznamem"/>
              <w:ind w:left="0"/>
              <w:jc w:val="both"/>
              <w:rPr>
                <w:rFonts w:ascii="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t xml:space="preserve">1.4 </w:t>
            </w:r>
            <w:r w:rsidR="00806259" w:rsidRPr="00CF5B13">
              <w:rPr>
                <w:rFonts w:ascii="Times New Roman" w:eastAsia="Times New Roman" w:hAnsi="Times New Roman" w:cs="Times New Roman"/>
                <w:b/>
                <w:color w:val="4472C4" w:themeColor="accent5"/>
                <w:sz w:val="24"/>
                <w:szCs w:val="24"/>
                <w:lang w:val="cs-CZ"/>
              </w:rPr>
              <w:t>Provést finální nezávislý expertní audit druhého NAP</w:t>
            </w:r>
            <w:r w:rsidR="00795311" w:rsidRPr="00CF5B13">
              <w:rPr>
                <w:rFonts w:ascii="Times New Roman" w:eastAsia="Times New Roman" w:hAnsi="Times New Roman" w:cs="Times New Roman"/>
                <w:b/>
                <w:color w:val="4472C4" w:themeColor="accent5"/>
                <w:sz w:val="24"/>
                <w:szCs w:val="24"/>
                <w:lang w:val="cs-CZ"/>
              </w:rPr>
              <w:t>.</w:t>
            </w:r>
            <w:r w:rsidR="004173FA" w:rsidRPr="00CF5B13">
              <w:rPr>
                <w:rFonts w:ascii="Times New Roman" w:hAnsi="Times New Roman" w:cs="Times New Roman"/>
                <w:b/>
                <w:color w:val="4472C4" w:themeColor="accent5"/>
                <w:sz w:val="24"/>
                <w:szCs w:val="24"/>
                <w:lang w:val="cs-CZ"/>
              </w:rPr>
              <w:t xml:space="preserve"> </w:t>
            </w:r>
          </w:p>
          <w:p w:rsidR="00806259" w:rsidRPr="00CF5B13" w:rsidRDefault="004173FA" w:rsidP="00806259">
            <w:pPr>
              <w:pStyle w:val="Odstavecseseznamem"/>
              <w:ind w:left="0"/>
              <w:jc w:val="both"/>
              <w:rPr>
                <w:rFonts w:ascii="Times New Roman" w:hAnsi="Times New Roman" w:cs="Times New Roman"/>
                <w:b/>
                <w:color w:val="4472C4" w:themeColor="accent5"/>
                <w:sz w:val="24"/>
                <w:szCs w:val="24"/>
                <w:lang w:val="cs-CZ"/>
              </w:rPr>
            </w:pPr>
            <w:r w:rsidRPr="00CF5B13">
              <w:rPr>
                <w:rFonts w:ascii="Times New Roman" w:hAnsi="Times New Roman" w:cs="Times New Roman"/>
                <w:b/>
                <w:color w:val="4472C4" w:themeColor="accent5"/>
                <w:sz w:val="24"/>
                <w:szCs w:val="24"/>
                <w:lang w:val="cs-CZ"/>
              </w:rPr>
              <w:t>(MZV/ÚV, MO, MV, MSp/NNO/akademická obec)</w:t>
            </w:r>
          </w:p>
        </w:tc>
        <w:tc>
          <w:tcPr>
            <w:tcW w:w="3465" w:type="dxa"/>
            <w:gridSpan w:val="2"/>
          </w:tcPr>
          <w:p w:rsidR="00806259" w:rsidRPr="00CF5B13" w:rsidRDefault="003616F7" w:rsidP="004173FA">
            <w:pPr>
              <w:pStyle w:val="Odstavecseseznamem"/>
              <w:ind w:left="0"/>
              <w:rPr>
                <w:rFonts w:ascii="Times New Roman" w:hAnsi="Times New Roman" w:cs="Times New Roman"/>
                <w:b/>
                <w:color w:val="4472C4" w:themeColor="accent5"/>
                <w:sz w:val="24"/>
                <w:szCs w:val="24"/>
                <w:lang w:val="cs-CZ"/>
              </w:rPr>
            </w:pPr>
            <w:r w:rsidRPr="00CF5B13">
              <w:rPr>
                <w:rFonts w:ascii="Times New Roman" w:hAnsi="Times New Roman" w:cs="Times New Roman"/>
                <w:b/>
                <w:color w:val="4472C4" w:themeColor="accent5"/>
                <w:sz w:val="24"/>
                <w:szCs w:val="24"/>
                <w:lang w:val="cs-CZ"/>
              </w:rPr>
              <w:t xml:space="preserve"> </w:t>
            </w:r>
            <w:r w:rsidR="00471A15" w:rsidRPr="00CF5B13">
              <w:rPr>
                <w:rFonts w:ascii="Times New Roman" w:hAnsi="Times New Roman" w:cs="Times New Roman"/>
                <w:b/>
                <w:color w:val="4472C4" w:themeColor="accent5"/>
                <w:sz w:val="24"/>
                <w:szCs w:val="24"/>
                <w:lang w:val="cs-CZ"/>
              </w:rPr>
              <w:t>Prozatím nesplněno</w:t>
            </w:r>
          </w:p>
          <w:p w:rsidR="004173FA" w:rsidRPr="00CF5B13" w:rsidRDefault="004173FA" w:rsidP="004173FA">
            <w:pPr>
              <w:pStyle w:val="Odstavecseseznamem"/>
              <w:ind w:left="0"/>
              <w:rPr>
                <w:rFonts w:ascii="Times New Roman" w:hAnsi="Times New Roman" w:cs="Times New Roman"/>
                <w:color w:val="4472C4" w:themeColor="accent5"/>
                <w:sz w:val="24"/>
                <w:szCs w:val="24"/>
                <w:lang w:val="cs-CZ"/>
              </w:rPr>
            </w:pPr>
          </w:p>
        </w:tc>
      </w:tr>
      <w:tr w:rsidR="00471A15" w:rsidRPr="00CF5B13" w:rsidTr="00D23034">
        <w:tc>
          <w:tcPr>
            <w:tcW w:w="10348" w:type="dxa"/>
            <w:gridSpan w:val="3"/>
          </w:tcPr>
          <w:p w:rsidR="00471A15" w:rsidRPr="00CF5B13" w:rsidRDefault="00471A15" w:rsidP="00471A15">
            <w:pPr>
              <w:pStyle w:val="Odstavecseseznamem"/>
              <w:ind w:left="0"/>
              <w:jc w:val="both"/>
              <w:rPr>
                <w:rFonts w:ascii="Times New Roman" w:hAnsi="Times New Roman" w:cs="Times New Roman"/>
                <w:sz w:val="24"/>
                <w:szCs w:val="24"/>
                <w:lang w:val="cs-CZ"/>
              </w:rPr>
            </w:pPr>
            <w:r w:rsidRPr="00CF5B13">
              <w:rPr>
                <w:rFonts w:ascii="Times New Roman" w:hAnsi="Times New Roman" w:cs="Times New Roman"/>
                <w:sz w:val="24"/>
                <w:szCs w:val="24"/>
                <w:lang w:val="cs-CZ"/>
              </w:rPr>
              <w:t xml:space="preserve">Finální nezávislý expertní audit bude realizován </w:t>
            </w:r>
            <w:r w:rsidR="00E87C24" w:rsidRPr="00CF5B13">
              <w:rPr>
                <w:rFonts w:ascii="Times New Roman" w:hAnsi="Times New Roman" w:cs="Times New Roman"/>
                <w:sz w:val="24"/>
                <w:szCs w:val="24"/>
                <w:lang w:val="cs-CZ"/>
              </w:rPr>
              <w:t>na konci implementačního období</w:t>
            </w:r>
            <w:r w:rsidRPr="00CF5B13">
              <w:rPr>
                <w:rFonts w:ascii="Times New Roman" w:hAnsi="Times New Roman" w:cs="Times New Roman"/>
                <w:sz w:val="24"/>
                <w:szCs w:val="24"/>
                <w:lang w:val="cs-CZ"/>
              </w:rPr>
              <w:t xml:space="preserve"> Národního akčního plánu. </w:t>
            </w:r>
          </w:p>
          <w:p w:rsidR="00471A15" w:rsidRPr="00CF5B13" w:rsidRDefault="00471A15" w:rsidP="00471A15">
            <w:pPr>
              <w:pStyle w:val="Odstavecseseznamem"/>
              <w:ind w:left="0"/>
              <w:jc w:val="both"/>
              <w:rPr>
                <w:rFonts w:ascii="Times New Roman" w:hAnsi="Times New Roman" w:cs="Times New Roman"/>
                <w:sz w:val="24"/>
                <w:szCs w:val="24"/>
                <w:lang w:val="cs-CZ"/>
              </w:rPr>
            </w:pPr>
          </w:p>
        </w:tc>
      </w:tr>
      <w:tr w:rsidR="00471A15" w:rsidRPr="00412C4E" w:rsidTr="00D23034">
        <w:tc>
          <w:tcPr>
            <w:tcW w:w="6883" w:type="dxa"/>
          </w:tcPr>
          <w:p w:rsidR="00471A15" w:rsidRPr="00CF5B13" w:rsidRDefault="00471A15" w:rsidP="00471A15">
            <w:pPr>
              <w:pStyle w:val="Odstavecseseznamem"/>
              <w:ind w:left="0"/>
              <w:jc w:val="both"/>
              <w:rPr>
                <w:rFonts w:ascii="Times New Roman" w:eastAsia="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t>1.5 Zrealizovat interní šetření zaměřené na zmapování aktuálně nastavených předpokladů pro vysílání do zahraničních misí.</w:t>
            </w:r>
          </w:p>
          <w:p w:rsidR="00471A15" w:rsidRDefault="00471A15" w:rsidP="00471A15">
            <w:pPr>
              <w:pStyle w:val="Odstavecseseznamem"/>
              <w:ind w:left="0"/>
              <w:jc w:val="both"/>
              <w:rPr>
                <w:rFonts w:ascii="Times New Roman" w:eastAsia="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t>(MV, MSp)</w:t>
            </w:r>
          </w:p>
          <w:p w:rsidR="0016711F" w:rsidRDefault="0016711F" w:rsidP="00471A15">
            <w:pPr>
              <w:pStyle w:val="Odstavecseseznamem"/>
              <w:ind w:left="0"/>
              <w:jc w:val="both"/>
              <w:rPr>
                <w:rFonts w:ascii="Times New Roman" w:eastAsia="Times New Roman" w:hAnsi="Times New Roman" w:cs="Times New Roman"/>
                <w:b/>
                <w:color w:val="4472C4" w:themeColor="accent5"/>
                <w:sz w:val="24"/>
                <w:szCs w:val="24"/>
                <w:lang w:val="cs-CZ"/>
              </w:rPr>
            </w:pPr>
          </w:p>
          <w:p w:rsidR="0016711F" w:rsidRPr="00CF5B13" w:rsidRDefault="0016711F" w:rsidP="00471A15">
            <w:pPr>
              <w:pStyle w:val="Odstavecseseznamem"/>
              <w:ind w:left="0"/>
              <w:jc w:val="both"/>
              <w:rPr>
                <w:rFonts w:ascii="Times New Roman" w:hAnsi="Times New Roman" w:cs="Times New Roman"/>
                <w:b/>
                <w:color w:val="4472C4" w:themeColor="accent5"/>
                <w:sz w:val="24"/>
                <w:szCs w:val="24"/>
                <w:lang w:val="cs-CZ"/>
              </w:rPr>
            </w:pPr>
          </w:p>
        </w:tc>
        <w:tc>
          <w:tcPr>
            <w:tcW w:w="3465" w:type="dxa"/>
            <w:gridSpan w:val="2"/>
          </w:tcPr>
          <w:p w:rsidR="002610BC" w:rsidRPr="00CF5B13" w:rsidRDefault="00471A15" w:rsidP="002610BC">
            <w:pPr>
              <w:rPr>
                <w:rFonts w:ascii="Times New Roman" w:eastAsia="Times New Roman" w:hAnsi="Times New Roman" w:cs="Times New Roman"/>
                <w:b/>
                <w:color w:val="4472C4" w:themeColor="accent5"/>
                <w:sz w:val="24"/>
                <w:szCs w:val="24"/>
                <w:lang w:val="cs-CZ"/>
              </w:rPr>
            </w:pPr>
            <w:r w:rsidRPr="00CF5B13">
              <w:rPr>
                <w:rFonts w:ascii="Times New Roman" w:hAnsi="Times New Roman" w:cs="Times New Roman"/>
                <w:b/>
                <w:color w:val="4472C4" w:themeColor="accent5"/>
                <w:sz w:val="24"/>
                <w:szCs w:val="24"/>
                <w:lang w:val="cs-CZ"/>
              </w:rPr>
              <w:lastRenderedPageBreak/>
              <w:t xml:space="preserve"> </w:t>
            </w:r>
            <w:r w:rsidR="002610BC" w:rsidRPr="00CF5B13">
              <w:rPr>
                <w:rFonts w:ascii="Times New Roman" w:eastAsia="Times New Roman" w:hAnsi="Times New Roman" w:cs="Times New Roman"/>
                <w:b/>
                <w:color w:val="4472C4" w:themeColor="accent5"/>
                <w:sz w:val="24"/>
                <w:szCs w:val="24"/>
                <w:lang w:val="cs-CZ"/>
              </w:rPr>
              <w:t>Prozatím nesplněno</w:t>
            </w:r>
          </w:p>
          <w:p w:rsidR="00471A15" w:rsidRPr="00CF5B13" w:rsidRDefault="002610BC" w:rsidP="002610BC">
            <w:pPr>
              <w:pStyle w:val="Odstavecseseznamem"/>
              <w:ind w:left="0"/>
              <w:rPr>
                <w:rFonts w:ascii="Times New Roman" w:hAnsi="Times New Roman" w:cs="Times New Roman"/>
                <w:b/>
                <w:color w:val="4472C4" w:themeColor="accent5"/>
                <w:sz w:val="24"/>
                <w:szCs w:val="24"/>
                <w:lang w:val="cs-CZ"/>
              </w:rPr>
            </w:pPr>
            <w:r w:rsidRPr="00CF5B13">
              <w:rPr>
                <w:rFonts w:ascii="Times New Roman" w:eastAsia="Times New Roman" w:hAnsi="Times New Roman" w:cs="Times New Roman"/>
                <w:color w:val="4472C4" w:themeColor="accent5"/>
                <w:sz w:val="24"/>
                <w:szCs w:val="24"/>
                <w:lang w:val="cs-CZ"/>
              </w:rPr>
              <w:t>Plnění proběhne v následujícím období</w:t>
            </w:r>
          </w:p>
        </w:tc>
      </w:tr>
      <w:tr w:rsidR="00471A15" w:rsidRPr="00412C4E" w:rsidTr="00D23034">
        <w:tc>
          <w:tcPr>
            <w:tcW w:w="10348" w:type="dxa"/>
            <w:gridSpan w:val="3"/>
          </w:tcPr>
          <w:p w:rsidR="00EF44A3" w:rsidRPr="00CF5B13" w:rsidRDefault="00EF44A3" w:rsidP="003D34ED">
            <w:pPr>
              <w:pStyle w:val="Odstavecseseznamem"/>
              <w:numPr>
                <w:ilvl w:val="2"/>
                <w:numId w:val="7"/>
              </w:numPr>
              <w:spacing w:before="120"/>
              <w:ind w:left="1003"/>
              <w:jc w:val="both"/>
              <w:rPr>
                <w:rFonts w:ascii="Times New Roman" w:hAnsi="Times New Roman" w:cs="Times New Roman"/>
                <w:b/>
                <w:sz w:val="24"/>
                <w:szCs w:val="24"/>
                <w:u w:val="single"/>
                <w:lang w:val="cs-CZ"/>
              </w:rPr>
            </w:pPr>
            <w:r w:rsidRPr="00CF5B13">
              <w:rPr>
                <w:rFonts w:ascii="Times New Roman" w:hAnsi="Times New Roman" w:cs="Times New Roman"/>
                <w:b/>
                <w:sz w:val="24"/>
                <w:szCs w:val="24"/>
                <w:u w:val="single"/>
                <w:lang w:val="cs-CZ"/>
              </w:rPr>
              <w:t>Ministerstvo vnitra</w:t>
            </w:r>
          </w:p>
          <w:p w:rsidR="00EF44A3" w:rsidRPr="00CF5B13" w:rsidRDefault="00EF44A3" w:rsidP="00AB4AA4">
            <w:pPr>
              <w:spacing w:before="120"/>
              <w:jc w:val="both"/>
              <w:rPr>
                <w:rFonts w:ascii="Times New Roman" w:eastAsia="Calibri" w:hAnsi="Times New Roman" w:cs="Times New Roman"/>
                <w:sz w:val="24"/>
                <w:szCs w:val="24"/>
                <w:lang w:val="cs-CZ"/>
              </w:rPr>
            </w:pPr>
            <w:r w:rsidRPr="00CF5B13">
              <w:rPr>
                <w:rFonts w:ascii="Times New Roman" w:eastAsia="Calibri" w:hAnsi="Times New Roman" w:cs="Times New Roman"/>
                <w:sz w:val="24"/>
                <w:szCs w:val="24"/>
                <w:lang w:val="cs-CZ"/>
              </w:rPr>
              <w:t>Policisté a policistky jsou vysíláni do tří různých typů misí. Jedná se o společné operace Frontex, zahraniční mírové operace a v rámci bilaterální spolupráce.</w:t>
            </w:r>
          </w:p>
          <w:p w:rsidR="00EF44A3" w:rsidRPr="00CF5B13" w:rsidRDefault="00EF44A3" w:rsidP="00EF44A3">
            <w:pPr>
              <w:numPr>
                <w:ilvl w:val="0"/>
                <w:numId w:val="16"/>
              </w:numPr>
              <w:jc w:val="both"/>
              <w:rPr>
                <w:rFonts w:ascii="Times New Roman" w:eastAsia="Calibri" w:hAnsi="Times New Roman" w:cs="Times New Roman"/>
                <w:sz w:val="24"/>
                <w:szCs w:val="24"/>
                <w:lang w:val="cs-CZ"/>
              </w:rPr>
            </w:pPr>
            <w:r w:rsidRPr="00CF5B13">
              <w:rPr>
                <w:rFonts w:ascii="Times New Roman" w:eastAsia="Calibri" w:hAnsi="Times New Roman" w:cs="Times New Roman"/>
                <w:sz w:val="24"/>
                <w:szCs w:val="24"/>
                <w:lang w:val="cs-CZ"/>
              </w:rPr>
              <w:t>Společné operace Frontex</w:t>
            </w:r>
            <w:r w:rsidR="00047ED7" w:rsidRPr="00CF5B13">
              <w:rPr>
                <w:rFonts w:ascii="Times New Roman" w:eastAsia="Calibri" w:hAnsi="Times New Roman" w:cs="Times New Roman"/>
                <w:sz w:val="24"/>
                <w:szCs w:val="24"/>
                <w:lang w:val="cs-CZ"/>
              </w:rPr>
              <w:t xml:space="preserve"> - </w:t>
            </w:r>
            <w:r w:rsidRPr="00CF5B13">
              <w:rPr>
                <w:rFonts w:ascii="Times New Roman" w:eastAsia="Calibri" w:hAnsi="Times New Roman" w:cs="Times New Roman"/>
                <w:sz w:val="24"/>
                <w:szCs w:val="24"/>
                <w:lang w:val="cs-CZ"/>
              </w:rPr>
              <w:t xml:space="preserve">předpoklady jsou uvedeny v interním aktu řízení (dále jen IAŘ).  Obecně lze říci, že policista/policistka musí být ve výkonu služby minimálně 5 let a projít testem na anglický jazyk. </w:t>
            </w:r>
          </w:p>
          <w:p w:rsidR="00EF44A3" w:rsidRPr="00CF5B13" w:rsidRDefault="00EF44A3" w:rsidP="00EF44A3">
            <w:pPr>
              <w:numPr>
                <w:ilvl w:val="0"/>
                <w:numId w:val="16"/>
              </w:numPr>
              <w:jc w:val="both"/>
              <w:rPr>
                <w:rFonts w:ascii="Times New Roman" w:eastAsia="Calibri" w:hAnsi="Times New Roman" w:cs="Times New Roman"/>
                <w:sz w:val="24"/>
                <w:szCs w:val="24"/>
                <w:lang w:val="cs-CZ"/>
              </w:rPr>
            </w:pPr>
            <w:r w:rsidRPr="00CF5B13">
              <w:rPr>
                <w:rFonts w:ascii="Times New Roman" w:eastAsia="Calibri" w:hAnsi="Times New Roman" w:cs="Times New Roman"/>
                <w:sz w:val="24"/>
                <w:szCs w:val="24"/>
                <w:lang w:val="cs-CZ"/>
              </w:rPr>
              <w:t>Zahraniční mírové operace</w:t>
            </w:r>
            <w:r w:rsidR="00047ED7" w:rsidRPr="00CF5B13">
              <w:rPr>
                <w:rFonts w:ascii="Times New Roman" w:eastAsia="Calibri" w:hAnsi="Times New Roman" w:cs="Times New Roman"/>
                <w:sz w:val="24"/>
                <w:szCs w:val="24"/>
                <w:lang w:val="cs-CZ"/>
              </w:rPr>
              <w:t xml:space="preserve"> - </w:t>
            </w:r>
            <w:r w:rsidRPr="00CF5B13">
              <w:rPr>
                <w:rFonts w:ascii="Times New Roman" w:eastAsia="Calibri" w:hAnsi="Times New Roman" w:cs="Times New Roman"/>
                <w:sz w:val="24"/>
                <w:szCs w:val="24"/>
                <w:lang w:val="cs-CZ"/>
              </w:rPr>
              <w:t xml:space="preserve">předpoklady jsou opět uvedeny v IAŘ. Obecně lze říci, že policista/policistka musí být ve výkonu služby minimálně 7 let, musí absolvovat test z angličtiny, zdravotní a psychologické vyšetření a před výjezdovou přípravu. </w:t>
            </w:r>
          </w:p>
          <w:p w:rsidR="00EF44A3" w:rsidRPr="00CF5B13" w:rsidRDefault="00EF44A3" w:rsidP="00EF44A3">
            <w:pPr>
              <w:numPr>
                <w:ilvl w:val="0"/>
                <w:numId w:val="16"/>
              </w:numPr>
              <w:jc w:val="both"/>
              <w:rPr>
                <w:rFonts w:ascii="Times New Roman" w:eastAsia="Calibri" w:hAnsi="Times New Roman" w:cs="Times New Roman"/>
                <w:sz w:val="24"/>
                <w:szCs w:val="24"/>
                <w:lang w:val="cs-CZ"/>
              </w:rPr>
            </w:pPr>
            <w:r w:rsidRPr="00CF5B13">
              <w:rPr>
                <w:rFonts w:ascii="Times New Roman" w:eastAsia="Calibri" w:hAnsi="Times New Roman" w:cs="Times New Roman"/>
                <w:sz w:val="24"/>
                <w:szCs w:val="24"/>
                <w:lang w:val="cs-CZ"/>
              </w:rPr>
              <w:t>Bilaterální spolupráce</w:t>
            </w:r>
            <w:r w:rsidR="00047ED7" w:rsidRPr="00CF5B13">
              <w:rPr>
                <w:rFonts w:ascii="Times New Roman" w:eastAsia="Calibri" w:hAnsi="Times New Roman" w:cs="Times New Roman"/>
                <w:sz w:val="24"/>
                <w:szCs w:val="24"/>
                <w:lang w:val="cs-CZ"/>
              </w:rPr>
              <w:t xml:space="preserve"> - </w:t>
            </w:r>
            <w:r w:rsidRPr="00CF5B13">
              <w:rPr>
                <w:rFonts w:ascii="Times New Roman" w:eastAsia="Calibri" w:hAnsi="Times New Roman" w:cs="Times New Roman"/>
                <w:sz w:val="24"/>
                <w:szCs w:val="24"/>
                <w:lang w:val="cs-CZ"/>
              </w:rPr>
              <w:t xml:space="preserve">vysílání kontingentů </w:t>
            </w:r>
            <w:r w:rsidR="00047ED7" w:rsidRPr="00CF5B13">
              <w:rPr>
                <w:rFonts w:ascii="Times New Roman" w:eastAsia="Calibri" w:hAnsi="Times New Roman" w:cs="Times New Roman"/>
                <w:sz w:val="24"/>
                <w:szCs w:val="24"/>
                <w:lang w:val="cs-CZ"/>
              </w:rPr>
              <w:t xml:space="preserve">je </w:t>
            </w:r>
            <w:r w:rsidRPr="00CF5B13">
              <w:rPr>
                <w:rFonts w:ascii="Times New Roman" w:eastAsia="Calibri" w:hAnsi="Times New Roman" w:cs="Times New Roman"/>
                <w:sz w:val="24"/>
                <w:szCs w:val="24"/>
                <w:lang w:val="cs-CZ"/>
              </w:rPr>
              <w:t>nastaveno zatím bez IAŘ, policista/policistka musí mít ukončenou služební zkoušku a mít řidičské oprávnění k řízení služebního motorového vozidla.</w:t>
            </w:r>
          </w:p>
          <w:p w:rsidR="00EF44A3" w:rsidRPr="00CF5B13" w:rsidRDefault="00EF44A3" w:rsidP="002610BC">
            <w:pPr>
              <w:pStyle w:val="Odstavecseseznamem"/>
              <w:ind w:left="0"/>
              <w:jc w:val="both"/>
              <w:rPr>
                <w:rFonts w:ascii="Times New Roman" w:hAnsi="Times New Roman" w:cs="Times New Roman"/>
                <w:sz w:val="24"/>
                <w:szCs w:val="24"/>
                <w:lang w:val="cs-CZ"/>
              </w:rPr>
            </w:pPr>
          </w:p>
          <w:p w:rsidR="00EF44A3" w:rsidRPr="00CF5B13" w:rsidRDefault="00471A15" w:rsidP="00AB4AA4">
            <w:pPr>
              <w:pStyle w:val="Odstavecseseznamem"/>
              <w:numPr>
                <w:ilvl w:val="2"/>
                <w:numId w:val="7"/>
              </w:numPr>
              <w:spacing w:after="120"/>
              <w:ind w:left="1003"/>
              <w:rPr>
                <w:rFonts w:ascii="Times New Roman" w:hAnsi="Times New Roman" w:cs="Times New Roman"/>
                <w:b/>
                <w:sz w:val="24"/>
                <w:szCs w:val="24"/>
                <w:u w:val="single"/>
                <w:lang w:val="cs-CZ"/>
              </w:rPr>
            </w:pPr>
            <w:r w:rsidRPr="00CF5B13">
              <w:rPr>
                <w:rFonts w:ascii="Times New Roman" w:hAnsi="Times New Roman" w:cs="Times New Roman"/>
                <w:sz w:val="24"/>
                <w:szCs w:val="24"/>
                <w:lang w:val="cs-CZ"/>
              </w:rPr>
              <w:t xml:space="preserve"> </w:t>
            </w:r>
            <w:r w:rsidR="00EF44A3" w:rsidRPr="00CF5B13">
              <w:rPr>
                <w:rFonts w:ascii="Times New Roman" w:hAnsi="Times New Roman" w:cs="Times New Roman"/>
                <w:b/>
                <w:sz w:val="24"/>
                <w:szCs w:val="24"/>
                <w:u w:val="single"/>
                <w:lang w:val="cs-CZ"/>
              </w:rPr>
              <w:t>Ministerstvo spravedlnosti</w:t>
            </w:r>
          </w:p>
          <w:p w:rsidR="003D34ED" w:rsidRPr="00CF5B13" w:rsidRDefault="003D34ED" w:rsidP="00AB4AA4">
            <w:pPr>
              <w:pStyle w:val="Odstavecseseznamem"/>
              <w:spacing w:before="360"/>
              <w:ind w:left="0"/>
              <w:jc w:val="both"/>
              <w:rPr>
                <w:rFonts w:ascii="Times New Roman" w:hAnsi="Times New Roman" w:cs="Times New Roman"/>
                <w:sz w:val="24"/>
                <w:szCs w:val="24"/>
                <w:lang w:val="cs-CZ"/>
              </w:rPr>
            </w:pPr>
          </w:p>
          <w:p w:rsidR="002610BC" w:rsidRPr="00CF5B13" w:rsidRDefault="002610BC" w:rsidP="00AB4AA4">
            <w:pPr>
              <w:pStyle w:val="Odstavecseseznamem"/>
              <w:spacing w:before="360"/>
              <w:ind w:left="0"/>
              <w:jc w:val="both"/>
              <w:rPr>
                <w:rFonts w:ascii="Times New Roman" w:hAnsi="Times New Roman" w:cs="Times New Roman"/>
                <w:sz w:val="24"/>
                <w:szCs w:val="24"/>
                <w:lang w:val="cs-CZ"/>
              </w:rPr>
            </w:pPr>
            <w:r w:rsidRPr="00CF5B13">
              <w:rPr>
                <w:rFonts w:ascii="Times New Roman" w:hAnsi="Times New Roman" w:cs="Times New Roman"/>
                <w:sz w:val="24"/>
                <w:szCs w:val="24"/>
                <w:lang w:val="cs-CZ"/>
              </w:rPr>
              <w:t>V roce 2022 probíhala elektronická komunikace a uskutečnilo se též osobní jednání zainteresovaných resortů s cílem prodiskutovat vstupní situaci a co nejvíce sjednotit způsob šetření. MO distribuovalo mezi dotčené resorty své dotazníky používané při obdobných šetřeních, které mají být využity jako podklad pro sestavení resortních dotazníků. MSp již sestavilo prvotní návrh dotazníku k rozeslání v rámci resortu spravedlnosti, dotazník je nyní finalizován a v roce 2023 bude distribuován resortním složkám.</w:t>
            </w:r>
          </w:p>
          <w:p w:rsidR="00471A15" w:rsidRPr="00CF5B13" w:rsidRDefault="00471A15" w:rsidP="00471A15">
            <w:pPr>
              <w:jc w:val="both"/>
              <w:rPr>
                <w:rFonts w:ascii="Times New Roman" w:hAnsi="Times New Roman" w:cs="Times New Roman"/>
                <w:sz w:val="24"/>
                <w:szCs w:val="24"/>
                <w:lang w:val="cs-CZ"/>
              </w:rPr>
            </w:pPr>
          </w:p>
        </w:tc>
      </w:tr>
      <w:tr w:rsidR="00471A15" w:rsidRPr="00412C4E" w:rsidTr="00501C0A">
        <w:trPr>
          <w:trHeight w:val="1254"/>
        </w:trPr>
        <w:tc>
          <w:tcPr>
            <w:tcW w:w="6883" w:type="dxa"/>
          </w:tcPr>
          <w:p w:rsidR="00471A15" w:rsidRPr="00CF5B13" w:rsidRDefault="00471A15" w:rsidP="00471A15">
            <w:pPr>
              <w:pStyle w:val="Odstavecseseznamem"/>
              <w:ind w:left="0"/>
              <w:jc w:val="both"/>
              <w:rPr>
                <w:rFonts w:ascii="Times New Roman" w:eastAsia="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t>1.6 Zrealizovat interní šetření zaměřené na zmapování motivací státních zaměstnankyň Ministerstva vnitra a příslušnic Policie ČR, které se zúčastnily zahraniční mise nebo se na ni chystají.</w:t>
            </w:r>
          </w:p>
          <w:p w:rsidR="00471A15" w:rsidRPr="00CF5B13" w:rsidRDefault="00471A15" w:rsidP="00471A15">
            <w:pPr>
              <w:pStyle w:val="Odstavecseseznamem"/>
              <w:ind w:left="0"/>
              <w:jc w:val="both"/>
              <w:rPr>
                <w:rFonts w:ascii="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t>(MV)</w:t>
            </w:r>
          </w:p>
        </w:tc>
        <w:tc>
          <w:tcPr>
            <w:tcW w:w="3465" w:type="dxa"/>
            <w:gridSpan w:val="2"/>
          </w:tcPr>
          <w:p w:rsidR="00C449BB" w:rsidRPr="00CF5B13" w:rsidRDefault="00471A15" w:rsidP="00C449BB">
            <w:pPr>
              <w:rPr>
                <w:rFonts w:ascii="Times New Roman" w:hAnsi="Times New Roman" w:cs="Times New Roman"/>
                <w:b/>
                <w:color w:val="4472C4" w:themeColor="accent5"/>
                <w:sz w:val="24"/>
                <w:szCs w:val="24"/>
                <w:lang w:val="cs-CZ"/>
              </w:rPr>
            </w:pPr>
            <w:r w:rsidRPr="00CF5B13">
              <w:rPr>
                <w:rFonts w:ascii="Times New Roman" w:hAnsi="Times New Roman" w:cs="Times New Roman"/>
                <w:color w:val="4472C4" w:themeColor="accent5"/>
                <w:sz w:val="24"/>
                <w:szCs w:val="24"/>
                <w:lang w:val="cs-CZ"/>
              </w:rPr>
              <w:t xml:space="preserve"> </w:t>
            </w:r>
            <w:r w:rsidR="00C449BB" w:rsidRPr="00CF5B13">
              <w:rPr>
                <w:rFonts w:ascii="Times New Roman" w:hAnsi="Times New Roman" w:cs="Times New Roman"/>
                <w:b/>
                <w:color w:val="4472C4" w:themeColor="accent5"/>
                <w:sz w:val="24"/>
                <w:szCs w:val="24"/>
                <w:lang w:val="cs-CZ"/>
              </w:rPr>
              <w:t>Prozatím nesplněno</w:t>
            </w:r>
          </w:p>
          <w:p w:rsidR="00471A15" w:rsidRPr="00CF5B13" w:rsidRDefault="00C449BB" w:rsidP="00C449BB">
            <w:pPr>
              <w:pStyle w:val="Odstavecseseznamem"/>
              <w:ind w:left="0"/>
              <w:rPr>
                <w:rFonts w:ascii="Times New Roman" w:hAnsi="Times New Roman" w:cs="Times New Roman"/>
                <w:color w:val="4472C4" w:themeColor="accent5"/>
                <w:sz w:val="24"/>
                <w:szCs w:val="24"/>
                <w:lang w:val="cs-CZ"/>
              </w:rPr>
            </w:pPr>
            <w:r w:rsidRPr="00CF5B13">
              <w:rPr>
                <w:rFonts w:ascii="Times New Roman" w:hAnsi="Times New Roman" w:cs="Times New Roman"/>
                <w:color w:val="4472C4" w:themeColor="accent5"/>
                <w:sz w:val="24"/>
                <w:szCs w:val="24"/>
                <w:lang w:val="cs-CZ"/>
              </w:rPr>
              <w:t>Plnění proběhne v následujícím období</w:t>
            </w:r>
          </w:p>
        </w:tc>
      </w:tr>
      <w:tr w:rsidR="00471A15" w:rsidRPr="00412C4E" w:rsidTr="00D23034">
        <w:tc>
          <w:tcPr>
            <w:tcW w:w="10348" w:type="dxa"/>
            <w:gridSpan w:val="3"/>
          </w:tcPr>
          <w:p w:rsidR="00C449BB" w:rsidRPr="00CF5B13" w:rsidRDefault="00471A15" w:rsidP="00C449BB">
            <w:pPr>
              <w:pStyle w:val="Odstavecseseznamem"/>
              <w:ind w:left="0"/>
              <w:jc w:val="both"/>
              <w:rPr>
                <w:rFonts w:ascii="Times New Roman" w:hAnsi="Times New Roman" w:cs="Times New Roman"/>
                <w:color w:val="FF0000"/>
                <w:sz w:val="24"/>
                <w:szCs w:val="24"/>
                <w:lang w:val="cs-CZ"/>
              </w:rPr>
            </w:pPr>
            <w:r w:rsidRPr="00CF5B13">
              <w:rPr>
                <w:rFonts w:ascii="Times New Roman" w:hAnsi="Times New Roman" w:cs="Times New Roman"/>
                <w:sz w:val="24"/>
                <w:szCs w:val="24"/>
                <w:lang w:val="cs-CZ"/>
              </w:rPr>
              <w:t xml:space="preserve"> </w:t>
            </w:r>
            <w:r w:rsidR="00C449BB" w:rsidRPr="00CF5B13">
              <w:rPr>
                <w:rFonts w:ascii="Times New Roman" w:hAnsi="Times New Roman" w:cs="Times New Roman"/>
                <w:sz w:val="24"/>
                <w:szCs w:val="24"/>
                <w:lang w:val="cs-CZ"/>
              </w:rPr>
              <w:t>Proběhla příprava k internímu šetření. V současné době dochází ke stanovení způsobu realizace interního šetření.</w:t>
            </w:r>
          </w:p>
          <w:p w:rsidR="00471A15" w:rsidRPr="00CF5B13" w:rsidRDefault="00471A15" w:rsidP="00471A15">
            <w:pPr>
              <w:pStyle w:val="Odstavecseseznamem"/>
              <w:ind w:left="0"/>
              <w:jc w:val="both"/>
              <w:rPr>
                <w:rFonts w:ascii="Times New Roman" w:hAnsi="Times New Roman" w:cs="Times New Roman"/>
                <w:sz w:val="24"/>
                <w:szCs w:val="24"/>
                <w:lang w:val="cs-CZ"/>
              </w:rPr>
            </w:pPr>
          </w:p>
        </w:tc>
      </w:tr>
      <w:tr w:rsidR="00471A15" w:rsidRPr="00412C4E" w:rsidTr="00501C0A">
        <w:trPr>
          <w:trHeight w:val="1284"/>
        </w:trPr>
        <w:tc>
          <w:tcPr>
            <w:tcW w:w="6883" w:type="dxa"/>
          </w:tcPr>
          <w:p w:rsidR="00471A15" w:rsidRPr="00CF5B13" w:rsidRDefault="00471A15" w:rsidP="00471A15">
            <w:pPr>
              <w:pStyle w:val="Odstavecseseznamem"/>
              <w:ind w:left="0"/>
              <w:jc w:val="both"/>
              <w:rPr>
                <w:rFonts w:ascii="Times New Roman" w:eastAsia="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t>1.7 Vytvořit soubor doporučení k podpoře motivace státních zaměstnankyň a zaměstnankyň Ministerstva vnitra a příslušnic Policie ČR k účasti na zahraničních misích.</w:t>
            </w:r>
          </w:p>
          <w:p w:rsidR="00471A15" w:rsidRPr="00CF5B13" w:rsidRDefault="00471A15" w:rsidP="00471A15">
            <w:pPr>
              <w:pStyle w:val="Odstavecseseznamem"/>
              <w:ind w:left="0"/>
              <w:jc w:val="both"/>
              <w:rPr>
                <w:rFonts w:ascii="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t>(MV, MSp)</w:t>
            </w:r>
          </w:p>
        </w:tc>
        <w:tc>
          <w:tcPr>
            <w:tcW w:w="3465" w:type="dxa"/>
            <w:gridSpan w:val="2"/>
          </w:tcPr>
          <w:p w:rsidR="0059724A" w:rsidRPr="00CF5B13" w:rsidRDefault="00471A15" w:rsidP="0059724A">
            <w:pPr>
              <w:rPr>
                <w:rFonts w:ascii="Times New Roman" w:hAnsi="Times New Roman" w:cs="Times New Roman"/>
                <w:b/>
                <w:color w:val="4472C4" w:themeColor="accent5"/>
                <w:sz w:val="24"/>
                <w:szCs w:val="24"/>
                <w:lang w:val="cs-CZ"/>
              </w:rPr>
            </w:pPr>
            <w:r w:rsidRPr="00CF5B13">
              <w:rPr>
                <w:rFonts w:ascii="Times New Roman" w:hAnsi="Times New Roman" w:cs="Times New Roman"/>
                <w:color w:val="4472C4" w:themeColor="accent5"/>
                <w:sz w:val="24"/>
                <w:szCs w:val="24"/>
                <w:lang w:val="cs-CZ"/>
              </w:rPr>
              <w:t xml:space="preserve"> </w:t>
            </w:r>
            <w:r w:rsidR="0059724A" w:rsidRPr="00CF5B13">
              <w:rPr>
                <w:rFonts w:ascii="Times New Roman" w:hAnsi="Times New Roman" w:cs="Times New Roman"/>
                <w:b/>
                <w:color w:val="4472C4" w:themeColor="accent5"/>
                <w:sz w:val="24"/>
                <w:szCs w:val="24"/>
                <w:lang w:val="cs-CZ"/>
              </w:rPr>
              <w:t>Prozatím nesplněno</w:t>
            </w:r>
          </w:p>
          <w:p w:rsidR="00471A15" w:rsidRPr="00CF5B13" w:rsidRDefault="0059724A" w:rsidP="0059724A">
            <w:pPr>
              <w:pStyle w:val="Odstavecseseznamem"/>
              <w:ind w:left="0"/>
              <w:rPr>
                <w:rFonts w:ascii="Times New Roman" w:hAnsi="Times New Roman" w:cs="Times New Roman"/>
                <w:color w:val="4472C4" w:themeColor="accent5"/>
                <w:sz w:val="24"/>
                <w:szCs w:val="24"/>
                <w:lang w:val="cs-CZ"/>
              </w:rPr>
            </w:pPr>
            <w:r w:rsidRPr="00CF5B13">
              <w:rPr>
                <w:rFonts w:ascii="Times New Roman" w:hAnsi="Times New Roman" w:cs="Times New Roman"/>
                <w:color w:val="4472C4" w:themeColor="accent5"/>
                <w:sz w:val="24"/>
                <w:szCs w:val="24"/>
                <w:lang w:val="cs-CZ"/>
              </w:rPr>
              <w:t>Plnění proběhne v následujícím období</w:t>
            </w:r>
          </w:p>
        </w:tc>
      </w:tr>
      <w:tr w:rsidR="00471A15" w:rsidRPr="00412C4E" w:rsidTr="00D23034">
        <w:tc>
          <w:tcPr>
            <w:tcW w:w="10348" w:type="dxa"/>
            <w:gridSpan w:val="3"/>
          </w:tcPr>
          <w:p w:rsidR="002610BC" w:rsidRPr="00CF5B13" w:rsidRDefault="00471A15" w:rsidP="002610BC">
            <w:pPr>
              <w:pStyle w:val="Odstavecseseznamem"/>
              <w:ind w:left="0"/>
              <w:jc w:val="both"/>
              <w:rPr>
                <w:rFonts w:ascii="Times New Roman" w:hAnsi="Times New Roman" w:cs="Times New Roman"/>
                <w:color w:val="0070C0"/>
                <w:sz w:val="24"/>
                <w:szCs w:val="24"/>
                <w:lang w:val="cs-CZ"/>
              </w:rPr>
            </w:pPr>
            <w:r w:rsidRPr="00CF5B13">
              <w:rPr>
                <w:rFonts w:ascii="Times New Roman" w:hAnsi="Times New Roman" w:cs="Times New Roman"/>
                <w:sz w:val="24"/>
                <w:szCs w:val="24"/>
                <w:lang w:val="cs-CZ"/>
              </w:rPr>
              <w:t xml:space="preserve"> </w:t>
            </w:r>
            <w:r w:rsidR="002610BC" w:rsidRPr="00CF5B13">
              <w:rPr>
                <w:rFonts w:ascii="Times New Roman" w:hAnsi="Times New Roman" w:cs="Times New Roman"/>
                <w:sz w:val="24"/>
                <w:szCs w:val="24"/>
                <w:lang w:val="cs-CZ"/>
              </w:rPr>
              <w:t>Doporučení budou formulována na základě uskutečn</w:t>
            </w:r>
            <w:r w:rsidR="00641D15" w:rsidRPr="00CF5B13">
              <w:rPr>
                <w:rFonts w:ascii="Times New Roman" w:hAnsi="Times New Roman" w:cs="Times New Roman"/>
                <w:sz w:val="24"/>
                <w:szCs w:val="24"/>
                <w:lang w:val="cs-CZ"/>
              </w:rPr>
              <w:t>ěných</w:t>
            </w:r>
            <w:r w:rsidR="002610BC" w:rsidRPr="00CF5B13">
              <w:rPr>
                <w:rFonts w:ascii="Times New Roman" w:hAnsi="Times New Roman" w:cs="Times New Roman"/>
                <w:sz w:val="24"/>
                <w:szCs w:val="24"/>
                <w:lang w:val="cs-CZ"/>
              </w:rPr>
              <w:t xml:space="preserve"> šetření (viz </w:t>
            </w:r>
            <w:r w:rsidR="0059724A" w:rsidRPr="00CF5B13">
              <w:rPr>
                <w:rFonts w:ascii="Times New Roman" w:hAnsi="Times New Roman" w:cs="Times New Roman"/>
                <w:sz w:val="24"/>
                <w:szCs w:val="24"/>
                <w:lang w:val="cs-CZ"/>
              </w:rPr>
              <w:t>body 1.</w:t>
            </w:r>
            <w:r w:rsidR="00641D15" w:rsidRPr="00CF5B13">
              <w:rPr>
                <w:rFonts w:ascii="Times New Roman" w:hAnsi="Times New Roman" w:cs="Times New Roman"/>
                <w:sz w:val="24"/>
                <w:szCs w:val="24"/>
                <w:lang w:val="cs-CZ"/>
              </w:rPr>
              <w:t>5</w:t>
            </w:r>
            <w:r w:rsidR="0059724A" w:rsidRPr="00CF5B13">
              <w:rPr>
                <w:rFonts w:ascii="Times New Roman" w:hAnsi="Times New Roman" w:cs="Times New Roman"/>
                <w:sz w:val="24"/>
                <w:szCs w:val="24"/>
                <w:lang w:val="cs-CZ"/>
              </w:rPr>
              <w:t>. – 1.</w:t>
            </w:r>
            <w:r w:rsidR="00641D15" w:rsidRPr="00CF5B13">
              <w:rPr>
                <w:rFonts w:ascii="Times New Roman" w:hAnsi="Times New Roman" w:cs="Times New Roman"/>
                <w:sz w:val="24"/>
                <w:szCs w:val="24"/>
                <w:lang w:val="cs-CZ"/>
              </w:rPr>
              <w:t>6</w:t>
            </w:r>
            <w:r w:rsidR="0059724A" w:rsidRPr="00CF5B13">
              <w:rPr>
                <w:rFonts w:ascii="Times New Roman" w:hAnsi="Times New Roman" w:cs="Times New Roman"/>
                <w:sz w:val="24"/>
                <w:szCs w:val="24"/>
                <w:lang w:val="cs-CZ"/>
              </w:rPr>
              <w:t>.</w:t>
            </w:r>
            <w:r w:rsidR="002610BC" w:rsidRPr="00CF5B13">
              <w:rPr>
                <w:rFonts w:ascii="Times New Roman" w:hAnsi="Times New Roman" w:cs="Times New Roman"/>
                <w:sz w:val="24"/>
                <w:szCs w:val="24"/>
                <w:lang w:val="cs-CZ"/>
              </w:rPr>
              <w:t>), tj. v závěru aktuálního víceletého období 2021</w:t>
            </w:r>
            <w:r w:rsidR="0059724A" w:rsidRPr="00CF5B13">
              <w:rPr>
                <w:rFonts w:ascii="Times New Roman" w:hAnsi="Times New Roman" w:cs="Times New Roman"/>
                <w:sz w:val="24"/>
                <w:szCs w:val="24"/>
                <w:lang w:val="cs-CZ"/>
              </w:rPr>
              <w:t>-</w:t>
            </w:r>
            <w:r w:rsidR="002610BC" w:rsidRPr="00CF5B13">
              <w:rPr>
                <w:rFonts w:ascii="Times New Roman" w:hAnsi="Times New Roman" w:cs="Times New Roman"/>
                <w:sz w:val="24"/>
                <w:szCs w:val="24"/>
                <w:lang w:val="cs-CZ"/>
              </w:rPr>
              <w:t>2025.</w:t>
            </w:r>
          </w:p>
          <w:p w:rsidR="00471A15" w:rsidRPr="00CF5B13" w:rsidRDefault="00471A15" w:rsidP="00471A15">
            <w:pPr>
              <w:jc w:val="both"/>
              <w:rPr>
                <w:rFonts w:ascii="Times New Roman" w:hAnsi="Times New Roman" w:cs="Times New Roman"/>
                <w:sz w:val="24"/>
                <w:szCs w:val="24"/>
                <w:lang w:val="cs-CZ"/>
              </w:rPr>
            </w:pPr>
          </w:p>
        </w:tc>
      </w:tr>
      <w:tr w:rsidR="00471A15" w:rsidRPr="00CF5B13" w:rsidTr="00D23034">
        <w:tc>
          <w:tcPr>
            <w:tcW w:w="6883" w:type="dxa"/>
          </w:tcPr>
          <w:p w:rsidR="00471A15" w:rsidRPr="00CF5B13" w:rsidRDefault="00471A15" w:rsidP="00471A15">
            <w:pPr>
              <w:pStyle w:val="Odstavecseseznamem"/>
              <w:ind w:left="0"/>
              <w:jc w:val="both"/>
              <w:rPr>
                <w:rFonts w:ascii="Times New Roman" w:eastAsia="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t>1.8 Sbírat a pravidelně vyhodnocovat anonymizované genderově desagregované statistiky k výběrovým řízením na funkce představených a jejich výsledkům.</w:t>
            </w:r>
          </w:p>
          <w:p w:rsidR="00471A15" w:rsidRPr="00CF5B13" w:rsidRDefault="00471A15" w:rsidP="001753E8">
            <w:pPr>
              <w:pStyle w:val="Odstavecseseznamem"/>
              <w:spacing w:after="120"/>
              <w:ind w:left="0"/>
              <w:jc w:val="both"/>
              <w:rPr>
                <w:rFonts w:ascii="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t>(MZV, MV, MO)</w:t>
            </w:r>
          </w:p>
        </w:tc>
        <w:tc>
          <w:tcPr>
            <w:tcW w:w="3465" w:type="dxa"/>
            <w:gridSpan w:val="2"/>
          </w:tcPr>
          <w:p w:rsidR="00471A15" w:rsidRPr="00CF5B13" w:rsidRDefault="00471A15" w:rsidP="00471A15">
            <w:pPr>
              <w:pStyle w:val="Odstavecseseznamem"/>
              <w:ind w:left="0"/>
              <w:jc w:val="both"/>
              <w:rPr>
                <w:rFonts w:ascii="Times New Roman" w:hAnsi="Times New Roman" w:cs="Times New Roman"/>
                <w:b/>
                <w:color w:val="4472C4" w:themeColor="accent5"/>
                <w:sz w:val="24"/>
                <w:szCs w:val="24"/>
                <w:lang w:val="cs-CZ"/>
              </w:rPr>
            </w:pPr>
            <w:r w:rsidRPr="00CF5B13">
              <w:rPr>
                <w:rFonts w:ascii="Times New Roman" w:hAnsi="Times New Roman" w:cs="Times New Roman"/>
                <w:b/>
                <w:color w:val="4472C4" w:themeColor="accent5"/>
                <w:sz w:val="24"/>
                <w:szCs w:val="24"/>
                <w:lang w:val="cs-CZ"/>
              </w:rPr>
              <w:t xml:space="preserve"> </w:t>
            </w:r>
            <w:r w:rsidR="000C08BB" w:rsidRPr="00CF5B13">
              <w:rPr>
                <w:rFonts w:ascii="Times New Roman" w:hAnsi="Times New Roman" w:cs="Times New Roman"/>
                <w:b/>
                <w:color w:val="4472C4" w:themeColor="accent5"/>
                <w:sz w:val="24"/>
                <w:szCs w:val="24"/>
                <w:lang w:val="cs-CZ"/>
              </w:rPr>
              <w:t>Plněno průběžně</w:t>
            </w:r>
          </w:p>
        </w:tc>
      </w:tr>
      <w:tr w:rsidR="00471A15" w:rsidRPr="00412C4E" w:rsidTr="00D23034">
        <w:tc>
          <w:tcPr>
            <w:tcW w:w="10348" w:type="dxa"/>
            <w:gridSpan w:val="3"/>
          </w:tcPr>
          <w:p w:rsidR="00471A15" w:rsidRPr="00CF5B13" w:rsidRDefault="00471A15" w:rsidP="001753E8">
            <w:pPr>
              <w:pStyle w:val="Odstavecseseznamem"/>
              <w:numPr>
                <w:ilvl w:val="0"/>
                <w:numId w:val="5"/>
              </w:numPr>
              <w:spacing w:before="120"/>
              <w:jc w:val="both"/>
              <w:rPr>
                <w:rFonts w:ascii="Times New Roman" w:hAnsi="Times New Roman" w:cs="Times New Roman"/>
                <w:b/>
                <w:sz w:val="24"/>
                <w:szCs w:val="24"/>
                <w:u w:val="single"/>
              </w:rPr>
            </w:pPr>
            <w:r w:rsidRPr="00CF5B13">
              <w:rPr>
                <w:rFonts w:ascii="Times New Roman" w:hAnsi="Times New Roman" w:cs="Times New Roman"/>
                <w:b/>
                <w:sz w:val="24"/>
                <w:szCs w:val="24"/>
                <w:u w:val="single"/>
              </w:rPr>
              <w:t>Ministerstvo zahraničních věcí</w:t>
            </w:r>
          </w:p>
          <w:p w:rsidR="0030537D" w:rsidRPr="00487061" w:rsidRDefault="0030537D" w:rsidP="0030537D">
            <w:pPr>
              <w:tabs>
                <w:tab w:val="left" w:pos="-720"/>
                <w:tab w:val="left" w:pos="0"/>
                <w:tab w:val="left" w:pos="720"/>
                <w:tab w:val="left" w:pos="1440"/>
                <w:tab w:val="left" w:pos="2160"/>
                <w:tab w:val="left" w:pos="2880"/>
                <w:tab w:val="left" w:pos="3600"/>
                <w:tab w:val="left" w:pos="4320"/>
              </w:tabs>
              <w:autoSpaceDE w:val="0"/>
              <w:autoSpaceDN w:val="0"/>
              <w:adjustRightInd w:val="0"/>
              <w:spacing w:before="120"/>
              <w:rPr>
                <w:rFonts w:ascii="Times New Roman" w:hAnsi="Times New Roman" w:cs="Times New Roman"/>
                <w:color w:val="000000"/>
                <w:sz w:val="24"/>
                <w:szCs w:val="24"/>
                <w:lang w:val="cs-CZ"/>
              </w:rPr>
            </w:pPr>
            <w:r w:rsidRPr="00487061">
              <w:rPr>
                <w:rFonts w:ascii="Times New Roman" w:hAnsi="Times New Roman" w:cs="Times New Roman"/>
                <w:color w:val="000000"/>
                <w:sz w:val="24"/>
                <w:szCs w:val="24"/>
                <w:lang w:val="cs-CZ"/>
              </w:rPr>
              <w:lastRenderedPageBreak/>
              <w:t xml:space="preserve">V rámci MZV probíhají takzvaná vnější výběrová řízení podle zákona o státní službě a vnitřní výběrová řízení podle zákona o zahraniční službě, která jsou specifická pro MZV. V rámci vnějších výběrových řízení se v roce 2022  uskutečnilo  7 řízení na pozice představených. Do těchto výběrových řízení se přihlásilo celkem 13 mužů a 8 žen a byli vybráno 5 mužů  (71%) a 2 ženy  (29%). </w:t>
            </w:r>
          </w:p>
          <w:p w:rsidR="0030537D" w:rsidRDefault="0030537D" w:rsidP="0030537D">
            <w:pPr>
              <w:jc w:val="both"/>
              <w:rPr>
                <w:rFonts w:ascii="Times New Roman" w:hAnsi="Times New Roman" w:cs="Times New Roman"/>
                <w:color w:val="000000"/>
                <w:sz w:val="24"/>
                <w:szCs w:val="24"/>
                <w:lang w:val="cs-CZ"/>
              </w:rPr>
            </w:pPr>
            <w:r w:rsidRPr="00487061">
              <w:rPr>
                <w:rFonts w:ascii="Times New Roman" w:hAnsi="Times New Roman" w:cs="Times New Roman"/>
                <w:color w:val="000000"/>
                <w:sz w:val="24"/>
                <w:szCs w:val="24"/>
                <w:lang w:val="cs-CZ"/>
              </w:rPr>
              <w:t>V rámci vnitřních výběrových řízení proběhlo v roce 2022 celkem 80 výběrových řízení (tento počet zahrnuje i opakovaná výběrová řízením respektive 1., 2. a 3. kola na jednotlivé pozice). Přihlásilo se do nich celkem 110 mužů a 63 žen, vybráno bylo 28 mužů (54 %) a 24 žen (46 %).</w:t>
            </w:r>
          </w:p>
          <w:p w:rsidR="009E3008" w:rsidRPr="00CF5B13" w:rsidRDefault="009E3008" w:rsidP="00471A15">
            <w:pPr>
              <w:jc w:val="both"/>
              <w:rPr>
                <w:rFonts w:ascii="Times New Roman" w:hAnsi="Times New Roman" w:cs="Times New Roman"/>
                <w:b/>
                <w:sz w:val="24"/>
                <w:szCs w:val="24"/>
                <w:u w:val="single"/>
                <w:lang w:val="cs-CZ"/>
              </w:rPr>
            </w:pPr>
          </w:p>
          <w:p w:rsidR="00471A15" w:rsidRPr="00CF5B13" w:rsidRDefault="00471A15" w:rsidP="003C620E">
            <w:pPr>
              <w:pStyle w:val="Odstavecseseznamem"/>
              <w:numPr>
                <w:ilvl w:val="0"/>
                <w:numId w:val="5"/>
              </w:numPr>
              <w:jc w:val="both"/>
              <w:rPr>
                <w:rFonts w:ascii="Times New Roman" w:hAnsi="Times New Roman" w:cs="Times New Roman"/>
                <w:b/>
                <w:sz w:val="24"/>
                <w:szCs w:val="24"/>
                <w:u w:val="single"/>
              </w:rPr>
            </w:pPr>
            <w:r w:rsidRPr="00CF5B13">
              <w:rPr>
                <w:rFonts w:ascii="Times New Roman" w:hAnsi="Times New Roman" w:cs="Times New Roman"/>
                <w:b/>
                <w:sz w:val="24"/>
                <w:szCs w:val="24"/>
                <w:u w:val="single"/>
              </w:rPr>
              <w:t>Ministerstvo vnitra</w:t>
            </w:r>
          </w:p>
          <w:p w:rsidR="00C449BB" w:rsidRPr="00CF5B13" w:rsidRDefault="00C449BB" w:rsidP="00AB4AA4">
            <w:pPr>
              <w:spacing w:before="120" w:after="120"/>
              <w:jc w:val="both"/>
              <w:rPr>
                <w:rFonts w:ascii="Times New Roman" w:hAnsi="Times New Roman" w:cs="Times New Roman"/>
                <w:sz w:val="24"/>
                <w:szCs w:val="24"/>
                <w:lang w:val="cs-CZ"/>
              </w:rPr>
            </w:pPr>
            <w:r w:rsidRPr="00CF5B13">
              <w:rPr>
                <w:rFonts w:ascii="Times New Roman" w:hAnsi="Times New Roman" w:cs="Times New Roman"/>
                <w:sz w:val="24"/>
                <w:szCs w:val="24"/>
                <w:lang w:val="cs-CZ"/>
              </w:rPr>
              <w:t>Na Ministerstvu vnitra proběhlo v roce 2022 celkem 30 výběrových řízení na místa představených. Z celkového počtu byla 3,3 % na místa vrchních ředitelů sekce, 26</w:t>
            </w:r>
            <w:r w:rsidR="00E1647F" w:rsidRPr="00CF5B13">
              <w:rPr>
                <w:rFonts w:ascii="Times New Roman" w:hAnsi="Times New Roman" w:cs="Times New Roman"/>
                <w:sz w:val="24"/>
                <w:szCs w:val="24"/>
                <w:lang w:val="cs-CZ"/>
              </w:rPr>
              <w:t>,</w:t>
            </w:r>
            <w:r w:rsidRPr="00CF5B13">
              <w:rPr>
                <w:rFonts w:ascii="Times New Roman" w:hAnsi="Times New Roman" w:cs="Times New Roman"/>
                <w:sz w:val="24"/>
                <w:szCs w:val="24"/>
                <w:lang w:val="cs-CZ"/>
              </w:rPr>
              <w:t>7 % na místa ředitelů odborů a 70 % na místa vedoucích oddělení.</w:t>
            </w:r>
          </w:p>
          <w:p w:rsidR="00C449BB" w:rsidRPr="00CF5B13" w:rsidRDefault="00C449BB" w:rsidP="00C449BB">
            <w:pPr>
              <w:pStyle w:val="Odstavecseseznamem"/>
              <w:numPr>
                <w:ilvl w:val="0"/>
                <w:numId w:val="18"/>
              </w:numPr>
              <w:jc w:val="both"/>
              <w:rPr>
                <w:rFonts w:ascii="Times New Roman" w:hAnsi="Times New Roman" w:cs="Times New Roman"/>
                <w:sz w:val="24"/>
                <w:szCs w:val="24"/>
                <w:lang w:val="cs-CZ"/>
              </w:rPr>
            </w:pPr>
            <w:r w:rsidRPr="00CF5B13">
              <w:rPr>
                <w:rFonts w:ascii="Times New Roman" w:hAnsi="Times New Roman" w:cs="Times New Roman"/>
                <w:sz w:val="24"/>
                <w:szCs w:val="24"/>
                <w:lang w:val="cs-CZ"/>
              </w:rPr>
              <w:t xml:space="preserve">Na místo vrchního ředitele sekce nebyl nikdo vybrán. Proběhlo celkem 1 VŘ. </w:t>
            </w:r>
          </w:p>
          <w:p w:rsidR="00C449BB" w:rsidRPr="00CF5B13" w:rsidRDefault="00C449BB" w:rsidP="00C449BB">
            <w:pPr>
              <w:pStyle w:val="Odstavecseseznamem"/>
              <w:numPr>
                <w:ilvl w:val="0"/>
                <w:numId w:val="18"/>
              </w:numPr>
              <w:jc w:val="both"/>
              <w:rPr>
                <w:rFonts w:ascii="Times New Roman" w:hAnsi="Times New Roman" w:cs="Times New Roman"/>
                <w:sz w:val="24"/>
                <w:szCs w:val="24"/>
                <w:lang w:val="cs-CZ"/>
              </w:rPr>
            </w:pPr>
            <w:r w:rsidRPr="00CF5B13">
              <w:rPr>
                <w:rFonts w:ascii="Times New Roman" w:hAnsi="Times New Roman" w:cs="Times New Roman"/>
                <w:sz w:val="24"/>
                <w:szCs w:val="24"/>
                <w:lang w:val="cs-CZ"/>
              </w:rPr>
              <w:t>U míst na pozici ředitel odboru, kde proběhlo celkem 8 VŘ:</w:t>
            </w:r>
          </w:p>
          <w:p w:rsidR="00C449BB" w:rsidRPr="00CF5B13" w:rsidRDefault="00C449BB" w:rsidP="00C449BB">
            <w:pPr>
              <w:pStyle w:val="Odstavecseseznamem"/>
              <w:numPr>
                <w:ilvl w:val="0"/>
                <w:numId w:val="19"/>
              </w:numPr>
              <w:jc w:val="both"/>
              <w:rPr>
                <w:rFonts w:ascii="Times New Roman" w:hAnsi="Times New Roman" w:cs="Times New Roman"/>
                <w:sz w:val="24"/>
                <w:szCs w:val="24"/>
                <w:lang w:val="cs-CZ"/>
              </w:rPr>
            </w:pPr>
            <w:r w:rsidRPr="00CF5B13">
              <w:rPr>
                <w:rFonts w:ascii="Times New Roman" w:hAnsi="Times New Roman" w:cs="Times New Roman"/>
                <w:sz w:val="24"/>
                <w:szCs w:val="24"/>
                <w:lang w:val="cs-CZ"/>
              </w:rPr>
              <w:t>Nebyla vybrána žádná žena.</w:t>
            </w:r>
          </w:p>
          <w:p w:rsidR="00C449BB" w:rsidRPr="00CF5B13" w:rsidRDefault="00C449BB" w:rsidP="00C449BB">
            <w:pPr>
              <w:pStyle w:val="Odstavecseseznamem"/>
              <w:numPr>
                <w:ilvl w:val="0"/>
                <w:numId w:val="19"/>
              </w:numPr>
              <w:jc w:val="both"/>
              <w:rPr>
                <w:rFonts w:ascii="Times New Roman" w:hAnsi="Times New Roman" w:cs="Times New Roman"/>
                <w:sz w:val="24"/>
                <w:szCs w:val="24"/>
                <w:lang w:val="cs-CZ"/>
              </w:rPr>
            </w:pPr>
            <w:r w:rsidRPr="00CF5B13">
              <w:rPr>
                <w:rFonts w:ascii="Times New Roman" w:hAnsi="Times New Roman" w:cs="Times New Roman"/>
                <w:sz w:val="24"/>
                <w:szCs w:val="24"/>
                <w:lang w:val="cs-CZ"/>
              </w:rPr>
              <w:t>Z celkového počtu VŘ tvořili vybraní muži 37,5 %.</w:t>
            </w:r>
          </w:p>
          <w:p w:rsidR="00C449BB" w:rsidRPr="00CF5B13" w:rsidRDefault="00C449BB" w:rsidP="00C449BB">
            <w:pPr>
              <w:pStyle w:val="Odstavecseseznamem"/>
              <w:numPr>
                <w:ilvl w:val="0"/>
                <w:numId w:val="19"/>
              </w:numPr>
              <w:jc w:val="both"/>
              <w:rPr>
                <w:rFonts w:ascii="Times New Roman" w:hAnsi="Times New Roman" w:cs="Times New Roman"/>
                <w:sz w:val="24"/>
                <w:szCs w:val="24"/>
                <w:lang w:val="cs-CZ"/>
              </w:rPr>
            </w:pPr>
            <w:r w:rsidRPr="00CF5B13">
              <w:rPr>
                <w:rFonts w:ascii="Times New Roman" w:hAnsi="Times New Roman" w:cs="Times New Roman"/>
                <w:sz w:val="24"/>
                <w:szCs w:val="24"/>
                <w:lang w:val="cs-CZ"/>
              </w:rPr>
              <w:t>Z celkového počtu VŘ, na která nebyl vybrán žádný kandidát nebo kandidátka, tvořila tato VŘ 62,5 %.</w:t>
            </w:r>
          </w:p>
          <w:p w:rsidR="00C449BB" w:rsidRPr="00CF5B13" w:rsidRDefault="00C449BB" w:rsidP="00C449BB">
            <w:pPr>
              <w:pStyle w:val="Odstavecseseznamem"/>
              <w:numPr>
                <w:ilvl w:val="0"/>
                <w:numId w:val="20"/>
              </w:numPr>
              <w:jc w:val="both"/>
              <w:rPr>
                <w:rFonts w:ascii="Times New Roman" w:hAnsi="Times New Roman" w:cs="Times New Roman"/>
                <w:sz w:val="24"/>
                <w:szCs w:val="24"/>
                <w:lang w:val="cs-CZ"/>
              </w:rPr>
            </w:pPr>
            <w:r w:rsidRPr="00CF5B13">
              <w:rPr>
                <w:rFonts w:ascii="Times New Roman" w:hAnsi="Times New Roman" w:cs="Times New Roman"/>
                <w:sz w:val="24"/>
                <w:szCs w:val="24"/>
                <w:lang w:val="cs-CZ"/>
              </w:rPr>
              <w:t>U míst na pozici vedoucí oddělení, kde proběhlo celkem 21 VŘ:</w:t>
            </w:r>
          </w:p>
          <w:p w:rsidR="00C449BB" w:rsidRPr="00CF5B13" w:rsidRDefault="00C449BB" w:rsidP="00C449BB">
            <w:pPr>
              <w:pStyle w:val="Odstavecseseznamem"/>
              <w:numPr>
                <w:ilvl w:val="0"/>
                <w:numId w:val="21"/>
              </w:numPr>
              <w:jc w:val="both"/>
              <w:rPr>
                <w:rFonts w:ascii="Times New Roman" w:hAnsi="Times New Roman" w:cs="Times New Roman"/>
                <w:sz w:val="24"/>
                <w:szCs w:val="24"/>
                <w:lang w:val="cs-CZ"/>
              </w:rPr>
            </w:pPr>
            <w:r w:rsidRPr="00CF5B13">
              <w:rPr>
                <w:rFonts w:ascii="Times New Roman" w:hAnsi="Times New Roman" w:cs="Times New Roman"/>
                <w:sz w:val="24"/>
                <w:szCs w:val="24"/>
                <w:lang w:val="cs-CZ"/>
              </w:rPr>
              <w:t>Z celkového počtu tvořily vybrané ženy 42,9 %.</w:t>
            </w:r>
          </w:p>
          <w:p w:rsidR="00C449BB" w:rsidRPr="00CF5B13" w:rsidRDefault="00C449BB" w:rsidP="00C449BB">
            <w:pPr>
              <w:pStyle w:val="Odstavecseseznamem"/>
              <w:numPr>
                <w:ilvl w:val="0"/>
                <w:numId w:val="21"/>
              </w:numPr>
              <w:jc w:val="both"/>
              <w:rPr>
                <w:rFonts w:ascii="Times New Roman" w:hAnsi="Times New Roman" w:cs="Times New Roman"/>
                <w:sz w:val="24"/>
                <w:szCs w:val="24"/>
                <w:lang w:val="cs-CZ"/>
              </w:rPr>
            </w:pPr>
            <w:r w:rsidRPr="00CF5B13">
              <w:rPr>
                <w:rFonts w:ascii="Times New Roman" w:hAnsi="Times New Roman" w:cs="Times New Roman"/>
                <w:sz w:val="24"/>
                <w:szCs w:val="24"/>
                <w:lang w:val="cs-CZ"/>
              </w:rPr>
              <w:t>Z celkového počtu tvořili vybraní muži 42,9 %.</w:t>
            </w:r>
          </w:p>
          <w:p w:rsidR="00C449BB" w:rsidRPr="00CF5B13" w:rsidRDefault="00C449BB" w:rsidP="00C449BB">
            <w:pPr>
              <w:pStyle w:val="Odstavecseseznamem"/>
              <w:numPr>
                <w:ilvl w:val="0"/>
                <w:numId w:val="21"/>
              </w:numPr>
              <w:jc w:val="both"/>
              <w:rPr>
                <w:rFonts w:ascii="Times New Roman" w:hAnsi="Times New Roman" w:cs="Times New Roman"/>
                <w:sz w:val="24"/>
                <w:szCs w:val="24"/>
                <w:lang w:val="cs-CZ"/>
              </w:rPr>
            </w:pPr>
            <w:r w:rsidRPr="00CF5B13">
              <w:rPr>
                <w:rFonts w:ascii="Times New Roman" w:hAnsi="Times New Roman" w:cs="Times New Roman"/>
                <w:sz w:val="24"/>
                <w:szCs w:val="24"/>
                <w:lang w:val="cs-CZ"/>
              </w:rPr>
              <w:t>Z celkového počtu VŘ, na která nebyl vybrán žádný kandidát nebo kandidátka, tvořila tato VŘ 14,2 %.</w:t>
            </w:r>
          </w:p>
          <w:p w:rsidR="00471A15" w:rsidRPr="00CF5B13" w:rsidRDefault="00471A15" w:rsidP="00471A15">
            <w:pPr>
              <w:jc w:val="both"/>
              <w:rPr>
                <w:rFonts w:ascii="Times New Roman" w:hAnsi="Times New Roman" w:cs="Times New Roman"/>
                <w:b/>
                <w:sz w:val="24"/>
                <w:szCs w:val="24"/>
                <w:u w:val="single"/>
                <w:lang w:val="cs-CZ"/>
              </w:rPr>
            </w:pPr>
          </w:p>
          <w:p w:rsidR="00471A15" w:rsidRPr="00CF5B13" w:rsidRDefault="00471A15" w:rsidP="003C620E">
            <w:pPr>
              <w:pStyle w:val="Odstavecseseznamem"/>
              <w:numPr>
                <w:ilvl w:val="0"/>
                <w:numId w:val="5"/>
              </w:numPr>
              <w:jc w:val="both"/>
              <w:rPr>
                <w:rFonts w:ascii="Times New Roman" w:hAnsi="Times New Roman" w:cs="Times New Roman"/>
                <w:b/>
                <w:sz w:val="24"/>
                <w:szCs w:val="24"/>
                <w:u w:val="single"/>
                <w:lang w:val="cs-CZ"/>
              </w:rPr>
            </w:pPr>
            <w:r w:rsidRPr="00CF5B13">
              <w:rPr>
                <w:rFonts w:ascii="Times New Roman" w:hAnsi="Times New Roman" w:cs="Times New Roman"/>
                <w:b/>
                <w:sz w:val="24"/>
                <w:szCs w:val="24"/>
                <w:u w:val="single"/>
              </w:rPr>
              <w:t>Ministerstvo obrany</w:t>
            </w:r>
          </w:p>
          <w:p w:rsidR="00471A15" w:rsidRPr="00CF5B13" w:rsidRDefault="00471A15" w:rsidP="00AB4AA4">
            <w:pPr>
              <w:spacing w:before="120"/>
              <w:jc w:val="both"/>
              <w:rPr>
                <w:rFonts w:ascii="Times New Roman" w:hAnsi="Times New Roman" w:cs="Times New Roman"/>
                <w:sz w:val="24"/>
                <w:szCs w:val="24"/>
                <w:lang w:val="cs-CZ"/>
              </w:rPr>
            </w:pPr>
            <w:r w:rsidRPr="00CF5B13">
              <w:rPr>
                <w:rFonts w:ascii="Times New Roman" w:hAnsi="Times New Roman" w:cs="Times New Roman"/>
                <w:sz w:val="24"/>
                <w:szCs w:val="24"/>
                <w:lang w:val="cs-CZ"/>
              </w:rPr>
              <w:t>V hodnoceném období proběhlo v rámci služebního úřadu celkem 120 výběrových řízení, z tohoto počtu na pozice představených proběhlo 32 výběrových řízení; na pozici představený/představená byly přijaty 3 ženy (NMO pro řízení sekce, ředitelka odboru, vedoucí oddělení- úspěšnost 33%); 14 mužů (1 NMO pro řízení sekce, 3 ředitelé odboru, 10 vedoucích oddělení – úspěšnost 58%).</w:t>
            </w:r>
          </w:p>
          <w:p w:rsidR="00471A15" w:rsidRPr="00CF5B13" w:rsidRDefault="00471A15" w:rsidP="00471A15">
            <w:pPr>
              <w:pStyle w:val="Odstavecseseznamem"/>
              <w:ind w:left="0"/>
              <w:jc w:val="both"/>
              <w:rPr>
                <w:rFonts w:ascii="Times New Roman" w:hAnsi="Times New Roman" w:cs="Times New Roman"/>
                <w:sz w:val="24"/>
                <w:szCs w:val="24"/>
                <w:lang w:val="cs-CZ"/>
              </w:rPr>
            </w:pPr>
          </w:p>
        </w:tc>
      </w:tr>
      <w:tr w:rsidR="00471A15" w:rsidRPr="00CF5B13" w:rsidTr="00D23034">
        <w:tc>
          <w:tcPr>
            <w:tcW w:w="6883" w:type="dxa"/>
          </w:tcPr>
          <w:p w:rsidR="00471A15" w:rsidRPr="00CF5B13" w:rsidRDefault="00471A15" w:rsidP="00471A15">
            <w:pPr>
              <w:pStyle w:val="Odstavecseseznamem"/>
              <w:ind w:left="0"/>
              <w:jc w:val="both"/>
              <w:rPr>
                <w:rFonts w:ascii="Times New Roman" w:eastAsia="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lastRenderedPageBreak/>
              <w:t>1.9 Usilovat o genderově vyvážené výběrové komise na funkce představených.</w:t>
            </w:r>
          </w:p>
          <w:p w:rsidR="00471A15" w:rsidRPr="00CF5B13" w:rsidRDefault="00471A15" w:rsidP="00471A15">
            <w:pPr>
              <w:pStyle w:val="Odstavecseseznamem"/>
              <w:ind w:left="0"/>
              <w:jc w:val="both"/>
              <w:rPr>
                <w:rFonts w:ascii="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t>(MZV, MV, MO)</w:t>
            </w:r>
          </w:p>
        </w:tc>
        <w:tc>
          <w:tcPr>
            <w:tcW w:w="3465" w:type="dxa"/>
            <w:gridSpan w:val="2"/>
          </w:tcPr>
          <w:p w:rsidR="00471A15" w:rsidRPr="00CF5B13" w:rsidRDefault="00471A15" w:rsidP="00471A15">
            <w:pPr>
              <w:pStyle w:val="Odstavecseseznamem"/>
              <w:ind w:left="0"/>
              <w:jc w:val="both"/>
              <w:rPr>
                <w:rFonts w:ascii="Times New Roman" w:hAnsi="Times New Roman" w:cs="Times New Roman"/>
                <w:b/>
                <w:color w:val="4472C4" w:themeColor="accent5"/>
                <w:sz w:val="24"/>
                <w:szCs w:val="24"/>
                <w:lang w:val="cs-CZ"/>
              </w:rPr>
            </w:pPr>
            <w:r w:rsidRPr="00CF5B13">
              <w:rPr>
                <w:rFonts w:ascii="Times New Roman" w:hAnsi="Times New Roman" w:cs="Times New Roman"/>
                <w:b/>
                <w:color w:val="4472C4" w:themeColor="accent5"/>
                <w:sz w:val="24"/>
                <w:szCs w:val="24"/>
                <w:lang w:val="cs-CZ"/>
              </w:rPr>
              <w:t xml:space="preserve"> </w:t>
            </w:r>
            <w:r w:rsidR="000C08BB" w:rsidRPr="00CF5B13">
              <w:rPr>
                <w:rFonts w:ascii="Times New Roman" w:hAnsi="Times New Roman" w:cs="Times New Roman"/>
                <w:b/>
                <w:color w:val="4472C4" w:themeColor="accent5"/>
                <w:sz w:val="24"/>
                <w:szCs w:val="24"/>
                <w:lang w:val="cs-CZ"/>
              </w:rPr>
              <w:t>Plněno průběžně</w:t>
            </w:r>
          </w:p>
        </w:tc>
      </w:tr>
      <w:tr w:rsidR="00471A15" w:rsidRPr="00412C4E" w:rsidTr="00D23034">
        <w:tc>
          <w:tcPr>
            <w:tcW w:w="10348" w:type="dxa"/>
            <w:gridSpan w:val="3"/>
          </w:tcPr>
          <w:p w:rsidR="000C08BB" w:rsidRPr="00CF5B13" w:rsidRDefault="00471A15" w:rsidP="00AB4AA4">
            <w:pPr>
              <w:pStyle w:val="Odstavecseseznamem"/>
              <w:numPr>
                <w:ilvl w:val="0"/>
                <w:numId w:val="1"/>
              </w:numPr>
              <w:spacing w:before="120" w:after="120"/>
              <w:jc w:val="both"/>
              <w:rPr>
                <w:rFonts w:ascii="Times New Roman" w:hAnsi="Times New Roman" w:cs="Times New Roman"/>
                <w:b/>
                <w:sz w:val="24"/>
                <w:szCs w:val="24"/>
                <w:u w:val="single"/>
                <w:lang w:val="cs-CZ"/>
              </w:rPr>
            </w:pPr>
            <w:r w:rsidRPr="00CF5B13">
              <w:rPr>
                <w:rFonts w:ascii="Times New Roman" w:hAnsi="Times New Roman" w:cs="Times New Roman"/>
                <w:sz w:val="24"/>
                <w:szCs w:val="24"/>
                <w:lang w:val="cs-CZ"/>
              </w:rPr>
              <w:t xml:space="preserve"> </w:t>
            </w:r>
            <w:r w:rsidR="000C08BB" w:rsidRPr="00CF5B13">
              <w:rPr>
                <w:rFonts w:ascii="Times New Roman" w:hAnsi="Times New Roman" w:cs="Times New Roman"/>
                <w:b/>
                <w:sz w:val="24"/>
                <w:szCs w:val="24"/>
                <w:u w:val="single"/>
                <w:lang w:val="cs-CZ"/>
              </w:rPr>
              <w:t>Ministerstvo zahraničních věcí</w:t>
            </w:r>
          </w:p>
          <w:p w:rsidR="006B77F3" w:rsidRPr="00CF5B13" w:rsidRDefault="006B77F3" w:rsidP="00482191">
            <w:pPr>
              <w:jc w:val="both"/>
              <w:rPr>
                <w:rFonts w:ascii="Times New Roman" w:hAnsi="Times New Roman" w:cs="Times New Roman"/>
                <w:sz w:val="24"/>
                <w:szCs w:val="24"/>
                <w:lang w:val="cs-CZ"/>
              </w:rPr>
            </w:pPr>
            <w:r w:rsidRPr="00CF5B13">
              <w:rPr>
                <w:rFonts w:ascii="Times New Roman" w:hAnsi="Times New Roman" w:cs="Times New Roman"/>
                <w:sz w:val="24"/>
                <w:szCs w:val="24"/>
                <w:lang w:val="cs-CZ"/>
              </w:rPr>
              <w:t xml:space="preserve">Personální rada dle §34, odst. 4 Zákona o zahraniční službě předkládá mj. návrhy na obsazení služebního místa představeného k výkonu služby v ústředí a v zahraničí, taková personální rada má dle odst. 5 tři členy. Členem personální rady podle ustanovení uvedeného zákona může být jmenován ten, kdo „je představený, který vykonává službu na služebním místě alespoň ředitele odboru, nebo vedoucí zaměstnanec ustanovený na pracovním místě alespoň ředitele odboru.“ </w:t>
            </w:r>
          </w:p>
          <w:p w:rsidR="006B77F3" w:rsidRPr="00CF5B13" w:rsidRDefault="006B77F3" w:rsidP="006B77F3">
            <w:pPr>
              <w:jc w:val="both"/>
              <w:rPr>
                <w:rFonts w:cstheme="minorHAnsi"/>
                <w:sz w:val="24"/>
                <w:szCs w:val="24"/>
                <w:lang w:val="cs-CZ"/>
              </w:rPr>
            </w:pPr>
            <w:r w:rsidRPr="00CF5B13">
              <w:rPr>
                <w:rFonts w:ascii="Times New Roman" w:hAnsi="Times New Roman" w:cs="Times New Roman"/>
                <w:sz w:val="24"/>
                <w:szCs w:val="24"/>
                <w:lang w:val="cs-CZ"/>
              </w:rPr>
              <w:t xml:space="preserve">Ministerstvo zahraničních věcí dlouhodobě usiluje o genderově vyvážené personální rady/výběrové komise, a to nejen na funkce představených. V roce 2022 tak byly při výběrových řízeních na funkce představených, při dodržení ustanovení služebních předpisů, jmenovány personální rady všech existujících variant genderových kombinací. </w:t>
            </w:r>
          </w:p>
          <w:p w:rsidR="006B77F3" w:rsidRPr="00CF5B13" w:rsidRDefault="006B77F3" w:rsidP="00471A15">
            <w:pPr>
              <w:jc w:val="both"/>
              <w:rPr>
                <w:rFonts w:ascii="Times New Roman" w:hAnsi="Times New Roman" w:cs="Times New Roman"/>
                <w:sz w:val="24"/>
                <w:szCs w:val="24"/>
                <w:lang w:val="cs-CZ"/>
              </w:rPr>
            </w:pPr>
          </w:p>
          <w:p w:rsidR="000C08BB" w:rsidRPr="00CF5B13" w:rsidRDefault="000C08BB" w:rsidP="003C620E">
            <w:pPr>
              <w:pStyle w:val="Odstavecseseznamem"/>
              <w:numPr>
                <w:ilvl w:val="0"/>
                <w:numId w:val="1"/>
              </w:numPr>
              <w:jc w:val="both"/>
              <w:rPr>
                <w:rFonts w:ascii="Times New Roman" w:hAnsi="Times New Roman" w:cs="Times New Roman"/>
                <w:b/>
                <w:sz w:val="24"/>
                <w:szCs w:val="24"/>
                <w:u w:val="single"/>
                <w:lang w:val="cs-CZ"/>
              </w:rPr>
            </w:pPr>
            <w:r w:rsidRPr="00CF5B13">
              <w:rPr>
                <w:rFonts w:ascii="Times New Roman" w:hAnsi="Times New Roman" w:cs="Times New Roman"/>
                <w:b/>
                <w:sz w:val="24"/>
                <w:szCs w:val="24"/>
                <w:u w:val="single"/>
                <w:lang w:val="cs-CZ"/>
              </w:rPr>
              <w:lastRenderedPageBreak/>
              <w:t>Ministerstvo vnitra</w:t>
            </w:r>
          </w:p>
          <w:p w:rsidR="000C08BB" w:rsidRPr="00CF5B13" w:rsidRDefault="000C08BB" w:rsidP="00471A15">
            <w:pPr>
              <w:jc w:val="both"/>
              <w:rPr>
                <w:rFonts w:ascii="Times New Roman" w:hAnsi="Times New Roman" w:cs="Times New Roman"/>
                <w:sz w:val="24"/>
                <w:szCs w:val="24"/>
                <w:lang w:val="cs-CZ"/>
              </w:rPr>
            </w:pPr>
          </w:p>
          <w:p w:rsidR="006C4678" w:rsidRPr="00CF5B13" w:rsidRDefault="006C4678" w:rsidP="00482191">
            <w:pPr>
              <w:pStyle w:val="Odstavecseseznamem"/>
              <w:ind w:left="0"/>
              <w:jc w:val="both"/>
              <w:rPr>
                <w:rFonts w:ascii="Times New Roman" w:hAnsi="Times New Roman" w:cs="Times New Roman"/>
                <w:color w:val="FF0000"/>
                <w:sz w:val="24"/>
                <w:szCs w:val="24"/>
                <w:lang w:val="cs-CZ"/>
              </w:rPr>
            </w:pPr>
            <w:r w:rsidRPr="00CF5B13">
              <w:rPr>
                <w:rFonts w:ascii="Times New Roman" w:hAnsi="Times New Roman" w:cs="Times New Roman"/>
                <w:sz w:val="24"/>
                <w:szCs w:val="24"/>
                <w:lang w:val="cs-CZ"/>
              </w:rPr>
              <w:t>V rámci výběrových řízení na všechna služební místa jsou v souladu se zákonem č. 361/2003 Sb.  o služebním poměru příslušníků bezpečnostních sborů nastavena stejná pravidla pro všechny uchazeče ženy i muže.</w:t>
            </w:r>
            <w:r w:rsidR="006B77F3" w:rsidRPr="00CF5B13">
              <w:rPr>
                <w:rFonts w:ascii="Times New Roman" w:hAnsi="Times New Roman" w:cs="Times New Roman"/>
                <w:sz w:val="24"/>
                <w:szCs w:val="24"/>
                <w:lang w:val="cs-CZ"/>
              </w:rPr>
              <w:t xml:space="preserve"> </w:t>
            </w:r>
            <w:r w:rsidRPr="00CF5B13">
              <w:rPr>
                <w:rFonts w:ascii="Times New Roman" w:hAnsi="Times New Roman" w:cs="Times New Roman"/>
                <w:sz w:val="24"/>
                <w:szCs w:val="24"/>
                <w:lang w:val="cs-CZ"/>
              </w:rPr>
              <w:t xml:space="preserve">Výběrové komise jsou na Ministerstvu vnitra sestavovány v souladu se zákonem o státní službě a služebním předpisem státního tajemníka. Při jmenování členů a členek výběrové komise se klade důraz na odbornou kvalifikaci a zkušenosti člena nebo členky výběrové komise, které by měly být odpovídající ve vztahu k odborným požadavkům stanoveným pro obsazované služební místo. Nebrání-li tomu zásadní důvody, jsou na výběrová řízení jmenovány výběrové komise v genderově vyváženém složení. Nicméně striktně genderově </w:t>
            </w:r>
            <w:r w:rsidR="00047ED7" w:rsidRPr="00CF5B13">
              <w:rPr>
                <w:rFonts w:ascii="Times New Roman" w:hAnsi="Times New Roman" w:cs="Times New Roman"/>
                <w:sz w:val="24"/>
                <w:szCs w:val="24"/>
                <w:lang w:val="cs-CZ"/>
              </w:rPr>
              <w:t xml:space="preserve">vyváženou </w:t>
            </w:r>
            <w:r w:rsidRPr="00CF5B13">
              <w:rPr>
                <w:rFonts w:ascii="Times New Roman" w:hAnsi="Times New Roman" w:cs="Times New Roman"/>
                <w:sz w:val="24"/>
                <w:szCs w:val="24"/>
                <w:lang w:val="cs-CZ"/>
              </w:rPr>
              <w:t>komisi nelze reálně ani ustanovit s ohledem na zákonem definovaný počet jejích členů v § 28 odst. 1 zákona o státní službě má výběrová komise 3 členy.</w:t>
            </w:r>
          </w:p>
          <w:p w:rsidR="006C4678" w:rsidRPr="00CF5B13" w:rsidRDefault="006C4678" w:rsidP="00471A15">
            <w:pPr>
              <w:jc w:val="both"/>
              <w:rPr>
                <w:rFonts w:ascii="Times New Roman" w:hAnsi="Times New Roman" w:cs="Times New Roman"/>
                <w:sz w:val="24"/>
                <w:szCs w:val="24"/>
                <w:lang w:val="cs-CZ"/>
              </w:rPr>
            </w:pPr>
          </w:p>
          <w:p w:rsidR="000C08BB" w:rsidRPr="00CF5B13" w:rsidRDefault="000C08BB" w:rsidP="003C620E">
            <w:pPr>
              <w:pStyle w:val="Odstavecseseznamem"/>
              <w:numPr>
                <w:ilvl w:val="0"/>
                <w:numId w:val="1"/>
              </w:numPr>
              <w:jc w:val="both"/>
              <w:rPr>
                <w:rFonts w:ascii="Times New Roman" w:hAnsi="Times New Roman" w:cs="Times New Roman"/>
                <w:b/>
                <w:sz w:val="24"/>
                <w:szCs w:val="24"/>
                <w:u w:val="single"/>
                <w:lang w:val="cs-CZ"/>
              </w:rPr>
            </w:pPr>
            <w:r w:rsidRPr="00CF5B13">
              <w:rPr>
                <w:rFonts w:ascii="Times New Roman" w:hAnsi="Times New Roman" w:cs="Times New Roman"/>
                <w:b/>
                <w:sz w:val="24"/>
                <w:szCs w:val="24"/>
                <w:u w:val="single"/>
                <w:lang w:val="cs-CZ"/>
              </w:rPr>
              <w:t>Ministerstvo obrany</w:t>
            </w:r>
          </w:p>
          <w:p w:rsidR="000C08BB" w:rsidRPr="00CF5B13" w:rsidRDefault="000C08BB" w:rsidP="00471A15">
            <w:pPr>
              <w:jc w:val="both"/>
              <w:rPr>
                <w:rFonts w:ascii="Times New Roman" w:hAnsi="Times New Roman" w:cs="Times New Roman"/>
                <w:sz w:val="24"/>
                <w:szCs w:val="24"/>
                <w:lang w:val="cs-CZ"/>
              </w:rPr>
            </w:pPr>
          </w:p>
          <w:p w:rsidR="000C08BB" w:rsidRPr="00CF5B13" w:rsidRDefault="000C08BB" w:rsidP="00482191">
            <w:pPr>
              <w:jc w:val="both"/>
              <w:rPr>
                <w:rFonts w:ascii="Times New Roman" w:hAnsi="Times New Roman" w:cs="Times New Roman"/>
                <w:sz w:val="24"/>
                <w:szCs w:val="24"/>
                <w:lang w:val="cs-CZ"/>
              </w:rPr>
            </w:pPr>
            <w:r w:rsidRPr="00CF5B13">
              <w:rPr>
                <w:rFonts w:ascii="Times New Roman" w:hAnsi="Times New Roman" w:cs="Times New Roman"/>
                <w:sz w:val="24"/>
                <w:szCs w:val="24"/>
                <w:lang w:val="cs-CZ"/>
              </w:rPr>
              <w:t>Nebrání-li tomu závažné důvody, které spočívají v nedostatečném zastoupení žen či mužů disponujících potřebnou odborností v rámci služebního úřadu, pak je vždy ustavena výběrová komise tak, aby její složení bylo genderově vyvážené, resp. smíšené.</w:t>
            </w:r>
          </w:p>
          <w:p w:rsidR="000C08BB" w:rsidRPr="00CF5B13" w:rsidRDefault="000C08BB" w:rsidP="00482191">
            <w:pPr>
              <w:jc w:val="both"/>
              <w:rPr>
                <w:rFonts w:ascii="Times New Roman" w:hAnsi="Times New Roman" w:cs="Times New Roman"/>
                <w:i/>
                <w:sz w:val="24"/>
                <w:szCs w:val="24"/>
                <w:lang w:val="cs-CZ"/>
              </w:rPr>
            </w:pPr>
            <w:r w:rsidRPr="00CF5B13">
              <w:rPr>
                <w:rFonts w:ascii="Times New Roman" w:hAnsi="Times New Roman" w:cs="Times New Roman"/>
                <w:sz w:val="24"/>
                <w:szCs w:val="24"/>
                <w:lang w:val="cs-CZ"/>
              </w:rPr>
              <w:t>V hodnoceném období bylo ustaveno celkem 120 výběrových komisí a z tohoto počtu bylo 55 výběrových komisí smíšených. V případě výběrových</w:t>
            </w:r>
            <w:r w:rsidR="009B5873" w:rsidRPr="00CF5B13">
              <w:rPr>
                <w:rFonts w:ascii="Times New Roman" w:hAnsi="Times New Roman" w:cs="Times New Roman"/>
                <w:sz w:val="24"/>
                <w:szCs w:val="24"/>
                <w:lang w:val="cs-CZ"/>
              </w:rPr>
              <w:t xml:space="preserve"> řízení na pozice představených</w:t>
            </w:r>
            <w:r w:rsidRPr="00CF5B13">
              <w:rPr>
                <w:rFonts w:ascii="Times New Roman" w:hAnsi="Times New Roman" w:cs="Times New Roman"/>
                <w:sz w:val="24"/>
                <w:szCs w:val="24"/>
                <w:lang w:val="cs-CZ"/>
              </w:rPr>
              <w:t xml:space="preserve"> bylo v hodnoceném období ustaveno 32 výběrových komisí, z nichž 11 komisí bylo genderově vyvážených, resp. smíšených.</w:t>
            </w:r>
            <w:r w:rsidRPr="00CF5B13">
              <w:rPr>
                <w:rFonts w:ascii="Times New Roman" w:hAnsi="Times New Roman" w:cs="Times New Roman"/>
                <w:i/>
                <w:sz w:val="24"/>
                <w:szCs w:val="24"/>
                <w:lang w:val="cs-CZ"/>
              </w:rPr>
              <w:t xml:space="preserve"> </w:t>
            </w:r>
          </w:p>
          <w:p w:rsidR="000C08BB" w:rsidRPr="00CF5B13" w:rsidRDefault="000C08BB" w:rsidP="00471A15">
            <w:pPr>
              <w:jc w:val="both"/>
              <w:rPr>
                <w:rFonts w:ascii="Times New Roman" w:hAnsi="Times New Roman" w:cs="Times New Roman"/>
                <w:sz w:val="24"/>
                <w:szCs w:val="24"/>
                <w:lang w:val="cs-CZ"/>
              </w:rPr>
            </w:pPr>
          </w:p>
        </w:tc>
      </w:tr>
      <w:tr w:rsidR="00471A15" w:rsidRPr="00CF5B13" w:rsidTr="00D23034">
        <w:tc>
          <w:tcPr>
            <w:tcW w:w="6883" w:type="dxa"/>
          </w:tcPr>
          <w:p w:rsidR="00471A15" w:rsidRPr="00CF5B13" w:rsidRDefault="00471A15" w:rsidP="00471A15">
            <w:pPr>
              <w:pStyle w:val="Odstavecseseznamem"/>
              <w:ind w:left="0"/>
              <w:jc w:val="both"/>
              <w:rPr>
                <w:rFonts w:ascii="Times New Roman" w:eastAsia="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lastRenderedPageBreak/>
              <w:t>1.10 Sledovat a průběžně vyhodnocovat podíl studujících dívek a chlapců a úspěšnost dívek a chlapců v rámci přijímacího řízení na jednotlivých policejních a vojenských školách.</w:t>
            </w:r>
          </w:p>
          <w:p w:rsidR="00471A15" w:rsidRDefault="00471A15" w:rsidP="008D5F91">
            <w:pPr>
              <w:pStyle w:val="Odstavecseseznamem"/>
              <w:spacing w:after="240"/>
              <w:ind w:left="0"/>
              <w:jc w:val="both"/>
              <w:rPr>
                <w:rFonts w:ascii="Times New Roman" w:eastAsia="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t>(MV, MO)</w:t>
            </w:r>
          </w:p>
          <w:p w:rsidR="0016711F" w:rsidRPr="00CF5B13" w:rsidRDefault="0016711F" w:rsidP="008D5F91">
            <w:pPr>
              <w:pStyle w:val="Odstavecseseznamem"/>
              <w:spacing w:after="240"/>
              <w:ind w:left="0"/>
              <w:jc w:val="both"/>
              <w:rPr>
                <w:rFonts w:ascii="Times New Roman" w:hAnsi="Times New Roman" w:cs="Times New Roman"/>
                <w:b/>
                <w:color w:val="4472C4" w:themeColor="accent5"/>
                <w:sz w:val="24"/>
                <w:szCs w:val="24"/>
                <w:lang w:val="cs-CZ"/>
              </w:rPr>
            </w:pPr>
          </w:p>
        </w:tc>
        <w:tc>
          <w:tcPr>
            <w:tcW w:w="3465" w:type="dxa"/>
            <w:gridSpan w:val="2"/>
          </w:tcPr>
          <w:p w:rsidR="00471A15" w:rsidRPr="00CF5B13" w:rsidRDefault="00471A15" w:rsidP="00471A15">
            <w:pPr>
              <w:pStyle w:val="Odstavecseseznamem"/>
              <w:ind w:left="0"/>
              <w:jc w:val="both"/>
              <w:rPr>
                <w:rFonts w:ascii="Times New Roman" w:hAnsi="Times New Roman" w:cs="Times New Roman"/>
                <w:b/>
                <w:color w:val="4472C4" w:themeColor="accent5"/>
                <w:sz w:val="24"/>
                <w:szCs w:val="24"/>
                <w:lang w:val="cs-CZ"/>
              </w:rPr>
            </w:pPr>
            <w:r w:rsidRPr="00CF5B13">
              <w:rPr>
                <w:rFonts w:ascii="Times New Roman" w:hAnsi="Times New Roman" w:cs="Times New Roman"/>
                <w:b/>
                <w:color w:val="4472C4" w:themeColor="accent5"/>
                <w:sz w:val="24"/>
                <w:szCs w:val="24"/>
                <w:lang w:val="cs-CZ"/>
              </w:rPr>
              <w:t xml:space="preserve"> </w:t>
            </w:r>
            <w:r w:rsidR="00CB76B0" w:rsidRPr="00CF5B13">
              <w:rPr>
                <w:rFonts w:ascii="Times New Roman" w:hAnsi="Times New Roman" w:cs="Times New Roman"/>
                <w:b/>
                <w:color w:val="4472C4" w:themeColor="accent5"/>
                <w:sz w:val="24"/>
                <w:szCs w:val="24"/>
                <w:lang w:val="cs-CZ"/>
              </w:rPr>
              <w:t>Plněno průběžně</w:t>
            </w:r>
          </w:p>
        </w:tc>
      </w:tr>
      <w:tr w:rsidR="00471A15" w:rsidRPr="00CF5B13" w:rsidTr="00D77D6B">
        <w:trPr>
          <w:trHeight w:val="284"/>
        </w:trPr>
        <w:tc>
          <w:tcPr>
            <w:tcW w:w="10348" w:type="dxa"/>
            <w:gridSpan w:val="3"/>
          </w:tcPr>
          <w:p w:rsidR="00D3673A" w:rsidRPr="00CF5B13" w:rsidRDefault="00D3673A" w:rsidP="00DC7FAC">
            <w:pPr>
              <w:pStyle w:val="Odstavecseseznamem"/>
              <w:numPr>
                <w:ilvl w:val="0"/>
                <w:numId w:val="2"/>
              </w:numPr>
              <w:spacing w:before="120"/>
              <w:jc w:val="both"/>
              <w:rPr>
                <w:rFonts w:ascii="Times New Roman" w:eastAsia="Times New Roman" w:hAnsi="Times New Roman" w:cs="Times New Roman"/>
                <w:b/>
                <w:sz w:val="24"/>
                <w:szCs w:val="24"/>
                <w:u w:val="single"/>
                <w:lang w:val="cs-CZ"/>
              </w:rPr>
            </w:pPr>
            <w:r w:rsidRPr="00CF5B13">
              <w:rPr>
                <w:rFonts w:ascii="Times New Roman" w:eastAsia="Times New Roman" w:hAnsi="Times New Roman" w:cs="Times New Roman"/>
                <w:b/>
                <w:sz w:val="24"/>
                <w:szCs w:val="24"/>
                <w:u w:val="single"/>
                <w:lang w:val="cs-CZ"/>
              </w:rPr>
              <w:t>Ministerstvo vnitra</w:t>
            </w:r>
          </w:p>
          <w:p w:rsidR="00D3673A" w:rsidRPr="00CF5B13" w:rsidRDefault="00D3673A" w:rsidP="00D3673A">
            <w:pPr>
              <w:jc w:val="both"/>
              <w:rPr>
                <w:rFonts w:ascii="Times New Roman" w:eastAsia="Times New Roman" w:hAnsi="Times New Roman" w:cs="Times New Roman"/>
                <w:b/>
                <w:sz w:val="24"/>
                <w:szCs w:val="24"/>
                <w:u w:val="single"/>
                <w:lang w:val="cs-CZ"/>
              </w:rPr>
            </w:pPr>
          </w:p>
          <w:p w:rsidR="00131DEF" w:rsidRPr="00CF5B13" w:rsidRDefault="00131DEF" w:rsidP="00131DEF">
            <w:pPr>
              <w:jc w:val="both"/>
              <w:rPr>
                <w:rFonts w:ascii="Times New Roman" w:eastAsia="Times New Roman" w:hAnsi="Times New Roman" w:cs="Times New Roman"/>
                <w:sz w:val="24"/>
                <w:szCs w:val="24"/>
                <w:lang w:val="cs-CZ"/>
              </w:rPr>
            </w:pPr>
            <w:r w:rsidRPr="00CF5B13">
              <w:rPr>
                <w:rFonts w:ascii="Times New Roman" w:eastAsia="Times New Roman" w:hAnsi="Times New Roman" w:cs="Times New Roman"/>
                <w:sz w:val="24"/>
                <w:szCs w:val="24"/>
                <w:lang w:val="cs-CZ"/>
              </w:rPr>
              <w:t xml:space="preserve">Podíl studujících chlapců a mužů je ve školním roce 2022/2023 na všech úrovních vzdělání v policejních školách vyšší než podíl studujících dívek a žen. Nejmenší rozdíly jsou ve středním vzdělávání. </w:t>
            </w:r>
          </w:p>
          <w:p w:rsidR="00131DEF" w:rsidRPr="00CF5B13" w:rsidRDefault="00131DEF" w:rsidP="00131DEF"/>
          <w:p w:rsidR="00131DEF" w:rsidRPr="00CF5B13" w:rsidRDefault="00131DEF" w:rsidP="00131DEF"/>
          <w:tbl>
            <w:tblPr>
              <w:tblW w:w="8354" w:type="dxa"/>
              <w:tblLook w:val="04A0" w:firstRow="1" w:lastRow="0" w:firstColumn="1" w:lastColumn="0" w:noHBand="0" w:noVBand="1"/>
            </w:tblPr>
            <w:tblGrid>
              <w:gridCol w:w="1266"/>
              <w:gridCol w:w="1418"/>
              <w:gridCol w:w="1275"/>
              <w:gridCol w:w="1134"/>
              <w:gridCol w:w="142"/>
              <w:gridCol w:w="1276"/>
              <w:gridCol w:w="1843"/>
            </w:tblGrid>
            <w:tr w:rsidR="00131DEF" w:rsidRPr="00CF5B13" w:rsidTr="00F34662">
              <w:trPr>
                <w:trHeight w:val="330"/>
              </w:trPr>
              <w:tc>
                <w:tcPr>
                  <w:tcW w:w="8354"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131DEF" w:rsidRPr="00CF5B13" w:rsidRDefault="00131DEF" w:rsidP="00131DEF">
                  <w:pPr>
                    <w:spacing w:after="0" w:line="240" w:lineRule="auto"/>
                    <w:rPr>
                      <w:rFonts w:ascii="Times New Roman" w:eastAsia="Times New Roman" w:hAnsi="Times New Roman" w:cs="Times New Roman"/>
                      <w:b/>
                      <w:bCs/>
                      <w:color w:val="000000"/>
                      <w:lang w:val="cs-CZ"/>
                    </w:rPr>
                  </w:pPr>
                  <w:r w:rsidRPr="00CF5B13">
                    <w:rPr>
                      <w:rFonts w:ascii="Times New Roman" w:eastAsia="Times New Roman" w:hAnsi="Times New Roman" w:cs="Times New Roman"/>
                      <w:b/>
                      <w:bCs/>
                      <w:color w:val="000000"/>
                      <w:lang w:val="cs-CZ"/>
                    </w:rPr>
                    <w:t>Střední vzdělávání s maturitní zkouškou (VPŠ a SPŠ MV v Holešově)</w:t>
                  </w:r>
                </w:p>
              </w:tc>
            </w:tr>
            <w:tr w:rsidR="00131DEF" w:rsidRPr="00CF5B13" w:rsidTr="00F34662">
              <w:trPr>
                <w:trHeight w:val="315"/>
              </w:trPr>
              <w:tc>
                <w:tcPr>
                  <w:tcW w:w="8354"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131DEF" w:rsidRPr="00CF5B13" w:rsidRDefault="00131DEF" w:rsidP="00131DEF">
                  <w:pPr>
                    <w:spacing w:after="0" w:line="240" w:lineRule="auto"/>
                    <w:rPr>
                      <w:rFonts w:ascii="Times New Roman" w:eastAsia="Times New Roman" w:hAnsi="Times New Roman" w:cs="Times New Roman"/>
                      <w:color w:val="000000"/>
                    </w:rPr>
                  </w:pPr>
                  <w:r w:rsidRPr="00CF5B13">
                    <w:rPr>
                      <w:rFonts w:ascii="Times New Roman" w:eastAsia="Times New Roman" w:hAnsi="Times New Roman" w:cs="Times New Roman"/>
                      <w:color w:val="000000"/>
                    </w:rPr>
                    <w:t>Školní rok 2022/2023</w:t>
                  </w:r>
                </w:p>
              </w:tc>
            </w:tr>
            <w:tr w:rsidR="00131DEF" w:rsidRPr="00CF5B13" w:rsidTr="00F34662">
              <w:trPr>
                <w:trHeight w:val="1253"/>
              </w:trPr>
              <w:tc>
                <w:tcPr>
                  <w:tcW w:w="2684" w:type="dxa"/>
                  <w:gridSpan w:val="2"/>
                  <w:tcBorders>
                    <w:top w:val="single" w:sz="8" w:space="0" w:color="auto"/>
                    <w:left w:val="single" w:sz="8" w:space="0" w:color="auto"/>
                    <w:bottom w:val="single" w:sz="8" w:space="0" w:color="000000"/>
                    <w:right w:val="single" w:sz="8" w:space="0" w:color="000000"/>
                  </w:tcBorders>
                  <w:shd w:val="clear" w:color="auto" w:fill="auto"/>
                  <w:vAlign w:val="center"/>
                  <w:hideMark/>
                </w:tcPr>
                <w:p w:rsidR="00131DEF" w:rsidRPr="00CF5B13" w:rsidRDefault="00131DEF" w:rsidP="009C7831">
                  <w:pPr>
                    <w:spacing w:after="0" w:line="240" w:lineRule="auto"/>
                    <w:rPr>
                      <w:rFonts w:ascii="Times New Roman" w:eastAsia="Times New Roman" w:hAnsi="Times New Roman" w:cs="Times New Roman"/>
                      <w:color w:val="000000"/>
                    </w:rPr>
                  </w:pPr>
                  <w:r w:rsidRPr="00CF5B13">
                    <w:rPr>
                      <w:rFonts w:ascii="Times New Roman" w:eastAsia="Times New Roman" w:hAnsi="Times New Roman" w:cs="Times New Roman"/>
                      <w:b/>
                      <w:color w:val="000000"/>
                    </w:rPr>
                    <w:t>účast při přijímacím řízení</w:t>
                  </w:r>
                  <w:r w:rsidR="009C7831" w:rsidRPr="00CF5B13">
                    <w:rPr>
                      <w:rFonts w:ascii="Times New Roman" w:eastAsia="Times New Roman" w:hAnsi="Times New Roman" w:cs="Times New Roman"/>
                      <w:b/>
                      <w:color w:val="000000"/>
                    </w:rPr>
                    <w:t xml:space="preserve"> </w:t>
                  </w:r>
                  <w:r w:rsidRPr="00CF5B13">
                    <w:rPr>
                      <w:rFonts w:ascii="Times New Roman" w:eastAsia="Times New Roman" w:hAnsi="Times New Roman" w:cs="Times New Roman"/>
                      <w:color w:val="000000"/>
                    </w:rPr>
                    <w:t xml:space="preserve">  (pro šk. rok 2022/2023)</w:t>
                  </w:r>
                </w:p>
              </w:tc>
              <w:tc>
                <w:tcPr>
                  <w:tcW w:w="2551" w:type="dxa"/>
                  <w:gridSpan w:val="3"/>
                  <w:tcBorders>
                    <w:top w:val="single" w:sz="8" w:space="0" w:color="auto"/>
                    <w:left w:val="single" w:sz="8" w:space="0" w:color="auto"/>
                    <w:bottom w:val="single" w:sz="8" w:space="0" w:color="000000"/>
                    <w:right w:val="single" w:sz="8" w:space="0" w:color="000000"/>
                  </w:tcBorders>
                  <w:shd w:val="clear" w:color="auto" w:fill="auto"/>
                  <w:vAlign w:val="center"/>
                  <w:hideMark/>
                </w:tcPr>
                <w:p w:rsidR="00131DEF" w:rsidRPr="00CF5B13" w:rsidRDefault="00131DEF" w:rsidP="00131DEF">
                  <w:pPr>
                    <w:spacing w:after="0" w:line="240" w:lineRule="auto"/>
                    <w:rPr>
                      <w:rFonts w:ascii="Times New Roman" w:eastAsia="Times New Roman" w:hAnsi="Times New Roman" w:cs="Times New Roman"/>
                      <w:b/>
                      <w:color w:val="000000"/>
                    </w:rPr>
                  </w:pPr>
                  <w:r w:rsidRPr="00CF5B13">
                    <w:rPr>
                      <w:rFonts w:ascii="Times New Roman" w:eastAsia="Times New Roman" w:hAnsi="Times New Roman" w:cs="Times New Roman"/>
                      <w:b/>
                      <w:color w:val="000000"/>
                    </w:rPr>
                    <w:t xml:space="preserve">               přijato</w:t>
                  </w:r>
                </w:p>
              </w:tc>
              <w:tc>
                <w:tcPr>
                  <w:tcW w:w="3119" w:type="dxa"/>
                  <w:gridSpan w:val="2"/>
                  <w:tcBorders>
                    <w:top w:val="nil"/>
                    <w:left w:val="nil"/>
                    <w:bottom w:val="single" w:sz="4" w:space="0" w:color="auto"/>
                    <w:right w:val="single" w:sz="8" w:space="0" w:color="auto"/>
                  </w:tcBorders>
                  <w:shd w:val="clear" w:color="auto" w:fill="auto"/>
                  <w:vAlign w:val="center"/>
                  <w:hideMark/>
                </w:tcPr>
                <w:p w:rsidR="00131DEF" w:rsidRPr="00CF5B13" w:rsidRDefault="00131DEF" w:rsidP="00131DEF">
                  <w:pPr>
                    <w:spacing w:after="0" w:line="240" w:lineRule="auto"/>
                    <w:rPr>
                      <w:rFonts w:ascii="Times New Roman" w:eastAsia="Times New Roman" w:hAnsi="Times New Roman" w:cs="Times New Roman"/>
                      <w:color w:val="000000"/>
                    </w:rPr>
                  </w:pPr>
                  <w:r w:rsidRPr="00CF5B13">
                    <w:rPr>
                      <w:rFonts w:ascii="Times New Roman" w:eastAsia="Times New Roman" w:hAnsi="Times New Roman" w:cs="Times New Roman"/>
                      <w:color w:val="000000"/>
                    </w:rPr>
                    <w:t> </w:t>
                  </w:r>
                </w:p>
                <w:p w:rsidR="00131DEF" w:rsidRPr="00CF5B13" w:rsidRDefault="00131DEF" w:rsidP="00131DEF">
                  <w:pPr>
                    <w:spacing w:after="0" w:line="240" w:lineRule="auto"/>
                    <w:rPr>
                      <w:rFonts w:ascii="Times New Roman" w:eastAsia="Times New Roman" w:hAnsi="Times New Roman" w:cs="Times New Roman"/>
                      <w:color w:val="000000"/>
                    </w:rPr>
                  </w:pPr>
                  <w:r w:rsidRPr="00CF5B13">
                    <w:rPr>
                      <w:rFonts w:ascii="Times New Roman" w:eastAsia="Times New Roman" w:hAnsi="Times New Roman" w:cs="Times New Roman"/>
                      <w:color w:val="000000"/>
                    </w:rPr>
                    <w:t xml:space="preserve">                  </w:t>
                  </w:r>
                </w:p>
                <w:p w:rsidR="00131DEF" w:rsidRPr="00CF5B13" w:rsidRDefault="00131DEF" w:rsidP="00131DEF">
                  <w:pPr>
                    <w:spacing w:after="0" w:line="240" w:lineRule="auto"/>
                    <w:rPr>
                      <w:rFonts w:ascii="Times New Roman" w:eastAsia="Times New Roman" w:hAnsi="Times New Roman" w:cs="Times New Roman"/>
                      <w:b/>
                      <w:color w:val="000000"/>
                    </w:rPr>
                  </w:pPr>
                  <w:r w:rsidRPr="00CF5B13">
                    <w:rPr>
                      <w:rFonts w:ascii="Times New Roman" w:eastAsia="Times New Roman" w:hAnsi="Times New Roman" w:cs="Times New Roman"/>
                      <w:b/>
                      <w:color w:val="000000"/>
                    </w:rPr>
                    <w:t xml:space="preserve">                   celkem žáci </w:t>
                  </w:r>
                </w:p>
                <w:p w:rsidR="00131DEF" w:rsidRPr="00CF5B13" w:rsidRDefault="00131DEF" w:rsidP="00131DEF">
                  <w:pPr>
                    <w:spacing w:after="0" w:line="240" w:lineRule="auto"/>
                    <w:rPr>
                      <w:rFonts w:ascii="Times New Roman" w:eastAsia="Times New Roman" w:hAnsi="Times New Roman" w:cs="Times New Roman"/>
                      <w:color w:val="000000"/>
                    </w:rPr>
                  </w:pPr>
                </w:p>
                <w:p w:rsidR="00131DEF" w:rsidRPr="00CF5B13" w:rsidRDefault="00131DEF" w:rsidP="00131DEF">
                  <w:pPr>
                    <w:spacing w:after="0" w:line="240" w:lineRule="auto"/>
                    <w:rPr>
                      <w:rFonts w:ascii="Times New Roman" w:eastAsia="Times New Roman" w:hAnsi="Times New Roman" w:cs="Times New Roman"/>
                      <w:color w:val="000000"/>
                    </w:rPr>
                  </w:pPr>
                  <w:r w:rsidRPr="00CF5B13">
                    <w:rPr>
                      <w:rFonts w:ascii="Times New Roman" w:eastAsia="Times New Roman" w:hAnsi="Times New Roman" w:cs="Times New Roman"/>
                      <w:color w:val="000000"/>
                    </w:rPr>
                    <w:t> </w:t>
                  </w:r>
                </w:p>
              </w:tc>
            </w:tr>
            <w:tr w:rsidR="00131DEF" w:rsidRPr="00CF5B13" w:rsidTr="00F34662">
              <w:trPr>
                <w:trHeight w:val="315"/>
              </w:trPr>
              <w:tc>
                <w:tcPr>
                  <w:tcW w:w="1266" w:type="dxa"/>
                  <w:tcBorders>
                    <w:top w:val="nil"/>
                    <w:left w:val="single" w:sz="8" w:space="0" w:color="auto"/>
                    <w:bottom w:val="single" w:sz="4" w:space="0" w:color="auto"/>
                    <w:right w:val="single" w:sz="8" w:space="0" w:color="auto"/>
                  </w:tcBorders>
                  <w:shd w:val="clear" w:color="auto" w:fill="auto"/>
                  <w:vAlign w:val="center"/>
                  <w:hideMark/>
                </w:tcPr>
                <w:p w:rsidR="00131DEF" w:rsidRPr="00CF5B13" w:rsidRDefault="00131DEF" w:rsidP="00131DEF">
                  <w:pPr>
                    <w:spacing w:after="0" w:line="240" w:lineRule="auto"/>
                    <w:jc w:val="center"/>
                    <w:rPr>
                      <w:rFonts w:ascii="Times New Roman" w:eastAsia="Times New Roman" w:hAnsi="Times New Roman" w:cs="Times New Roman"/>
                      <w:color w:val="000000"/>
                    </w:rPr>
                  </w:pPr>
                  <w:r w:rsidRPr="00CF5B13">
                    <w:rPr>
                      <w:rFonts w:ascii="Times New Roman" w:eastAsia="Times New Roman" w:hAnsi="Times New Roman" w:cs="Times New Roman"/>
                      <w:color w:val="000000"/>
                    </w:rPr>
                    <w:t>chlapci</w:t>
                  </w:r>
                </w:p>
              </w:tc>
              <w:tc>
                <w:tcPr>
                  <w:tcW w:w="1418" w:type="dxa"/>
                  <w:tcBorders>
                    <w:top w:val="nil"/>
                    <w:left w:val="nil"/>
                    <w:bottom w:val="double" w:sz="6" w:space="0" w:color="auto"/>
                    <w:right w:val="single" w:sz="8" w:space="0" w:color="auto"/>
                  </w:tcBorders>
                  <w:shd w:val="clear" w:color="auto" w:fill="auto"/>
                  <w:vAlign w:val="center"/>
                  <w:hideMark/>
                </w:tcPr>
                <w:p w:rsidR="00131DEF" w:rsidRPr="00CF5B13" w:rsidRDefault="00131DEF" w:rsidP="00131DEF">
                  <w:pPr>
                    <w:spacing w:after="0" w:line="240" w:lineRule="auto"/>
                    <w:jc w:val="center"/>
                    <w:rPr>
                      <w:rFonts w:ascii="Times New Roman" w:eastAsia="Times New Roman" w:hAnsi="Times New Roman" w:cs="Times New Roman"/>
                      <w:color w:val="000000"/>
                    </w:rPr>
                  </w:pPr>
                  <w:r w:rsidRPr="00CF5B13">
                    <w:rPr>
                      <w:rFonts w:ascii="Times New Roman" w:eastAsia="Times New Roman" w:hAnsi="Times New Roman" w:cs="Times New Roman"/>
                      <w:color w:val="000000"/>
                    </w:rPr>
                    <w:t>dívky</w:t>
                  </w:r>
                </w:p>
              </w:tc>
              <w:tc>
                <w:tcPr>
                  <w:tcW w:w="1275" w:type="dxa"/>
                  <w:tcBorders>
                    <w:top w:val="nil"/>
                    <w:left w:val="nil"/>
                    <w:bottom w:val="double" w:sz="6" w:space="0" w:color="auto"/>
                    <w:right w:val="single" w:sz="8" w:space="0" w:color="auto"/>
                  </w:tcBorders>
                  <w:shd w:val="clear" w:color="auto" w:fill="auto"/>
                  <w:vAlign w:val="center"/>
                  <w:hideMark/>
                </w:tcPr>
                <w:p w:rsidR="00131DEF" w:rsidRPr="00CF5B13" w:rsidRDefault="00131DEF" w:rsidP="00131DEF">
                  <w:pPr>
                    <w:spacing w:after="0" w:line="240" w:lineRule="auto"/>
                    <w:jc w:val="center"/>
                    <w:rPr>
                      <w:rFonts w:ascii="Times New Roman" w:eastAsia="Times New Roman" w:hAnsi="Times New Roman" w:cs="Times New Roman"/>
                      <w:color w:val="000000"/>
                    </w:rPr>
                  </w:pPr>
                  <w:r w:rsidRPr="00CF5B13">
                    <w:rPr>
                      <w:rFonts w:ascii="Times New Roman" w:eastAsia="Times New Roman" w:hAnsi="Times New Roman" w:cs="Times New Roman"/>
                      <w:color w:val="000000"/>
                    </w:rPr>
                    <w:t>chlapci</w:t>
                  </w:r>
                </w:p>
              </w:tc>
              <w:tc>
                <w:tcPr>
                  <w:tcW w:w="1276" w:type="dxa"/>
                  <w:gridSpan w:val="2"/>
                  <w:tcBorders>
                    <w:top w:val="nil"/>
                    <w:left w:val="nil"/>
                    <w:bottom w:val="double" w:sz="6" w:space="0" w:color="auto"/>
                    <w:right w:val="single" w:sz="4" w:space="0" w:color="auto"/>
                  </w:tcBorders>
                  <w:shd w:val="clear" w:color="auto" w:fill="auto"/>
                  <w:vAlign w:val="center"/>
                  <w:hideMark/>
                </w:tcPr>
                <w:p w:rsidR="00131DEF" w:rsidRPr="00CF5B13" w:rsidRDefault="00131DEF" w:rsidP="00131DEF">
                  <w:pPr>
                    <w:spacing w:after="0" w:line="240" w:lineRule="auto"/>
                    <w:jc w:val="center"/>
                    <w:rPr>
                      <w:rFonts w:ascii="Times New Roman" w:eastAsia="Times New Roman" w:hAnsi="Times New Roman" w:cs="Times New Roman"/>
                      <w:color w:val="000000"/>
                    </w:rPr>
                  </w:pPr>
                  <w:r w:rsidRPr="00CF5B13">
                    <w:rPr>
                      <w:rFonts w:ascii="Times New Roman" w:eastAsia="Times New Roman" w:hAnsi="Times New Roman" w:cs="Times New Roman"/>
                      <w:color w:val="000000"/>
                    </w:rPr>
                    <w:t>dívky</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1DEF" w:rsidRPr="00CF5B13" w:rsidRDefault="00131DEF" w:rsidP="00131DEF">
                  <w:pPr>
                    <w:spacing w:after="0" w:line="240" w:lineRule="auto"/>
                    <w:jc w:val="center"/>
                    <w:rPr>
                      <w:rFonts w:ascii="Times New Roman" w:eastAsia="Times New Roman" w:hAnsi="Times New Roman" w:cs="Times New Roman"/>
                      <w:color w:val="000000"/>
                    </w:rPr>
                  </w:pPr>
                  <w:r w:rsidRPr="00CF5B13">
                    <w:rPr>
                      <w:rFonts w:ascii="Times New Roman" w:eastAsia="Times New Roman" w:hAnsi="Times New Roman" w:cs="Times New Roman"/>
                      <w:color w:val="000000"/>
                    </w:rPr>
                    <w:t>chlapci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1DEF" w:rsidRPr="00CF5B13" w:rsidRDefault="00131DEF" w:rsidP="00131DEF">
                  <w:pPr>
                    <w:spacing w:after="0" w:line="240" w:lineRule="auto"/>
                    <w:jc w:val="center"/>
                    <w:rPr>
                      <w:rFonts w:ascii="Times New Roman" w:eastAsia="Times New Roman" w:hAnsi="Times New Roman" w:cs="Times New Roman"/>
                      <w:color w:val="000000"/>
                    </w:rPr>
                  </w:pPr>
                  <w:r w:rsidRPr="00CF5B13">
                    <w:rPr>
                      <w:rFonts w:ascii="Times New Roman" w:eastAsia="Times New Roman" w:hAnsi="Times New Roman" w:cs="Times New Roman"/>
                      <w:color w:val="000000"/>
                    </w:rPr>
                    <w:t>dívky</w:t>
                  </w:r>
                </w:p>
              </w:tc>
            </w:tr>
            <w:tr w:rsidR="00131DEF" w:rsidRPr="00CF5B13" w:rsidTr="00F34662">
              <w:trPr>
                <w:trHeight w:val="330"/>
              </w:trPr>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131DEF" w:rsidRPr="00CF5B13" w:rsidRDefault="00131DEF" w:rsidP="00131DEF">
                  <w:pPr>
                    <w:spacing w:after="0" w:line="240" w:lineRule="auto"/>
                    <w:jc w:val="center"/>
                    <w:rPr>
                      <w:rFonts w:ascii="Times New Roman" w:eastAsia="Times New Roman" w:hAnsi="Times New Roman" w:cs="Times New Roman"/>
                      <w:color w:val="000000"/>
                    </w:rPr>
                  </w:pPr>
                  <w:r w:rsidRPr="00CF5B13">
                    <w:rPr>
                      <w:rFonts w:ascii="Times New Roman" w:eastAsia="Times New Roman" w:hAnsi="Times New Roman" w:cs="Times New Roman"/>
                      <w:color w:val="000000"/>
                    </w:rPr>
                    <w:t>220</w:t>
                  </w:r>
                </w:p>
              </w:tc>
              <w:tc>
                <w:tcPr>
                  <w:tcW w:w="1418" w:type="dxa"/>
                  <w:tcBorders>
                    <w:top w:val="nil"/>
                    <w:left w:val="single" w:sz="4" w:space="0" w:color="auto"/>
                    <w:bottom w:val="single" w:sz="8" w:space="0" w:color="auto"/>
                    <w:right w:val="single" w:sz="8" w:space="0" w:color="auto"/>
                  </w:tcBorders>
                  <w:shd w:val="clear" w:color="auto" w:fill="auto"/>
                  <w:vAlign w:val="center"/>
                </w:tcPr>
                <w:p w:rsidR="00131DEF" w:rsidRPr="00CF5B13" w:rsidRDefault="00131DEF" w:rsidP="00131DEF">
                  <w:pPr>
                    <w:spacing w:after="0" w:line="240" w:lineRule="auto"/>
                    <w:jc w:val="center"/>
                    <w:rPr>
                      <w:rFonts w:ascii="Times New Roman" w:eastAsia="Times New Roman" w:hAnsi="Times New Roman" w:cs="Times New Roman"/>
                      <w:color w:val="000000"/>
                    </w:rPr>
                  </w:pPr>
                  <w:r w:rsidRPr="00CF5B13">
                    <w:rPr>
                      <w:rFonts w:ascii="Times New Roman" w:eastAsia="Times New Roman" w:hAnsi="Times New Roman" w:cs="Times New Roman"/>
                      <w:color w:val="000000"/>
                    </w:rPr>
                    <w:t>259</w:t>
                  </w:r>
                </w:p>
              </w:tc>
              <w:tc>
                <w:tcPr>
                  <w:tcW w:w="1275" w:type="dxa"/>
                  <w:tcBorders>
                    <w:top w:val="single" w:sz="4" w:space="0" w:color="auto"/>
                    <w:left w:val="nil"/>
                    <w:bottom w:val="single" w:sz="8" w:space="0" w:color="auto"/>
                    <w:right w:val="single" w:sz="8" w:space="0" w:color="auto"/>
                  </w:tcBorders>
                  <w:shd w:val="clear" w:color="auto" w:fill="auto"/>
                  <w:vAlign w:val="center"/>
                </w:tcPr>
                <w:p w:rsidR="00131DEF" w:rsidRPr="00CF5B13" w:rsidRDefault="00131DEF" w:rsidP="00131DEF">
                  <w:pPr>
                    <w:spacing w:after="0" w:line="240" w:lineRule="auto"/>
                    <w:jc w:val="center"/>
                    <w:rPr>
                      <w:rFonts w:ascii="Times New Roman" w:eastAsia="Times New Roman" w:hAnsi="Times New Roman" w:cs="Times New Roman"/>
                      <w:color w:val="000000"/>
                    </w:rPr>
                  </w:pPr>
                  <w:r w:rsidRPr="00CF5B13">
                    <w:rPr>
                      <w:rFonts w:ascii="Times New Roman" w:eastAsia="Times New Roman" w:hAnsi="Times New Roman" w:cs="Times New Roman"/>
                      <w:color w:val="000000"/>
                    </w:rPr>
                    <w:t>68</w:t>
                  </w:r>
                </w:p>
              </w:tc>
              <w:tc>
                <w:tcPr>
                  <w:tcW w:w="1276" w:type="dxa"/>
                  <w:gridSpan w:val="2"/>
                  <w:tcBorders>
                    <w:top w:val="single" w:sz="4" w:space="0" w:color="auto"/>
                    <w:left w:val="nil"/>
                    <w:bottom w:val="single" w:sz="8" w:space="0" w:color="auto"/>
                    <w:right w:val="single" w:sz="8" w:space="0" w:color="auto"/>
                  </w:tcBorders>
                  <w:shd w:val="clear" w:color="auto" w:fill="auto"/>
                  <w:vAlign w:val="center"/>
                </w:tcPr>
                <w:p w:rsidR="00131DEF" w:rsidRPr="00CF5B13" w:rsidRDefault="00131DEF" w:rsidP="00131DEF">
                  <w:pPr>
                    <w:spacing w:after="0" w:line="240" w:lineRule="auto"/>
                    <w:jc w:val="center"/>
                    <w:rPr>
                      <w:rFonts w:ascii="Times New Roman" w:eastAsia="Times New Roman" w:hAnsi="Times New Roman" w:cs="Times New Roman"/>
                      <w:color w:val="000000"/>
                    </w:rPr>
                  </w:pPr>
                  <w:r w:rsidRPr="00CF5B13">
                    <w:rPr>
                      <w:rFonts w:ascii="Times New Roman" w:eastAsia="Times New Roman" w:hAnsi="Times New Roman" w:cs="Times New Roman"/>
                      <w:color w:val="000000"/>
                    </w:rPr>
                    <w:t>52</w:t>
                  </w:r>
                </w:p>
              </w:tc>
              <w:tc>
                <w:tcPr>
                  <w:tcW w:w="1276" w:type="dxa"/>
                  <w:tcBorders>
                    <w:top w:val="single" w:sz="4" w:space="0" w:color="auto"/>
                    <w:left w:val="nil"/>
                    <w:bottom w:val="single" w:sz="8" w:space="0" w:color="auto"/>
                    <w:right w:val="single" w:sz="8" w:space="0" w:color="auto"/>
                  </w:tcBorders>
                  <w:shd w:val="clear" w:color="auto" w:fill="auto"/>
                  <w:vAlign w:val="center"/>
                </w:tcPr>
                <w:p w:rsidR="00131DEF" w:rsidRPr="00CF5B13" w:rsidRDefault="00131DEF" w:rsidP="00131DEF">
                  <w:pPr>
                    <w:spacing w:after="0" w:line="240" w:lineRule="auto"/>
                    <w:jc w:val="center"/>
                    <w:rPr>
                      <w:rFonts w:ascii="Times New Roman" w:eastAsia="Times New Roman" w:hAnsi="Times New Roman" w:cs="Times New Roman"/>
                      <w:color w:val="000000"/>
                    </w:rPr>
                  </w:pPr>
                  <w:r w:rsidRPr="00CF5B13">
                    <w:rPr>
                      <w:rFonts w:ascii="Times New Roman" w:eastAsia="Times New Roman" w:hAnsi="Times New Roman" w:cs="Times New Roman"/>
                      <w:color w:val="000000"/>
                    </w:rPr>
                    <w:t>241</w:t>
                  </w:r>
                </w:p>
              </w:tc>
              <w:tc>
                <w:tcPr>
                  <w:tcW w:w="1843" w:type="dxa"/>
                  <w:tcBorders>
                    <w:top w:val="single" w:sz="4" w:space="0" w:color="auto"/>
                    <w:left w:val="nil"/>
                    <w:bottom w:val="single" w:sz="8" w:space="0" w:color="auto"/>
                    <w:right w:val="single" w:sz="8" w:space="0" w:color="auto"/>
                  </w:tcBorders>
                  <w:shd w:val="clear" w:color="auto" w:fill="auto"/>
                  <w:vAlign w:val="center"/>
                </w:tcPr>
                <w:p w:rsidR="00131DEF" w:rsidRPr="00CF5B13" w:rsidRDefault="00131DEF" w:rsidP="00131DEF">
                  <w:pPr>
                    <w:spacing w:after="0" w:line="240" w:lineRule="auto"/>
                    <w:jc w:val="center"/>
                    <w:rPr>
                      <w:rFonts w:ascii="Times New Roman" w:eastAsia="Times New Roman" w:hAnsi="Times New Roman" w:cs="Times New Roman"/>
                      <w:color w:val="000000"/>
                    </w:rPr>
                  </w:pPr>
                  <w:r w:rsidRPr="00CF5B13">
                    <w:rPr>
                      <w:rFonts w:ascii="Times New Roman" w:eastAsia="Times New Roman" w:hAnsi="Times New Roman" w:cs="Times New Roman"/>
                      <w:color w:val="000000"/>
                    </w:rPr>
                    <w:t>218</w:t>
                  </w:r>
                </w:p>
              </w:tc>
            </w:tr>
            <w:tr w:rsidR="00131DEF" w:rsidRPr="00CF5B13" w:rsidTr="00F34662">
              <w:trPr>
                <w:trHeight w:val="330"/>
              </w:trPr>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131DEF" w:rsidRPr="00CF5B13" w:rsidRDefault="00131DEF" w:rsidP="00131DEF">
                  <w:pPr>
                    <w:spacing w:after="0" w:line="240" w:lineRule="auto"/>
                    <w:jc w:val="center"/>
                    <w:rPr>
                      <w:rFonts w:ascii="Times New Roman" w:eastAsia="Times New Roman" w:hAnsi="Times New Roman" w:cs="Times New Roman"/>
                      <w:color w:val="000000"/>
                    </w:rPr>
                  </w:pPr>
                </w:p>
              </w:tc>
              <w:tc>
                <w:tcPr>
                  <w:tcW w:w="1418" w:type="dxa"/>
                  <w:tcBorders>
                    <w:top w:val="nil"/>
                    <w:left w:val="single" w:sz="4" w:space="0" w:color="auto"/>
                    <w:bottom w:val="single" w:sz="8" w:space="0" w:color="auto"/>
                    <w:right w:val="single" w:sz="8" w:space="0" w:color="auto"/>
                  </w:tcBorders>
                  <w:shd w:val="clear" w:color="auto" w:fill="auto"/>
                  <w:vAlign w:val="center"/>
                </w:tcPr>
                <w:p w:rsidR="00131DEF" w:rsidRPr="00CF5B13" w:rsidRDefault="00131DEF" w:rsidP="00131DEF">
                  <w:pPr>
                    <w:spacing w:after="0" w:line="240" w:lineRule="auto"/>
                    <w:jc w:val="center"/>
                    <w:rPr>
                      <w:rFonts w:ascii="Times New Roman" w:eastAsia="Times New Roman" w:hAnsi="Times New Roman" w:cs="Times New Roman"/>
                      <w:color w:val="000000"/>
                    </w:rPr>
                  </w:pPr>
                </w:p>
              </w:tc>
              <w:tc>
                <w:tcPr>
                  <w:tcW w:w="1275" w:type="dxa"/>
                  <w:tcBorders>
                    <w:top w:val="single" w:sz="4" w:space="0" w:color="auto"/>
                    <w:left w:val="nil"/>
                    <w:bottom w:val="single" w:sz="8" w:space="0" w:color="auto"/>
                    <w:right w:val="single" w:sz="8" w:space="0" w:color="auto"/>
                  </w:tcBorders>
                  <w:shd w:val="clear" w:color="auto" w:fill="auto"/>
                  <w:vAlign w:val="center"/>
                </w:tcPr>
                <w:p w:rsidR="00131DEF" w:rsidRPr="00CF5B13" w:rsidRDefault="00131DEF" w:rsidP="00131DEF">
                  <w:pPr>
                    <w:spacing w:after="0" w:line="240" w:lineRule="auto"/>
                    <w:jc w:val="center"/>
                    <w:rPr>
                      <w:rFonts w:ascii="Times New Roman" w:eastAsia="Times New Roman" w:hAnsi="Times New Roman" w:cs="Times New Roman"/>
                      <w:color w:val="000000"/>
                    </w:rPr>
                  </w:pPr>
                  <w:r w:rsidRPr="00CF5B13">
                    <w:rPr>
                      <w:rFonts w:ascii="Times New Roman" w:eastAsia="Times New Roman" w:hAnsi="Times New Roman" w:cs="Times New Roman"/>
                      <w:color w:val="000000"/>
                    </w:rPr>
                    <w:t>56, 7 %</w:t>
                  </w:r>
                </w:p>
              </w:tc>
              <w:tc>
                <w:tcPr>
                  <w:tcW w:w="1276" w:type="dxa"/>
                  <w:gridSpan w:val="2"/>
                  <w:tcBorders>
                    <w:top w:val="single" w:sz="4" w:space="0" w:color="auto"/>
                    <w:left w:val="nil"/>
                    <w:bottom w:val="single" w:sz="8" w:space="0" w:color="auto"/>
                    <w:right w:val="single" w:sz="8" w:space="0" w:color="auto"/>
                  </w:tcBorders>
                  <w:shd w:val="clear" w:color="auto" w:fill="auto"/>
                  <w:vAlign w:val="center"/>
                </w:tcPr>
                <w:p w:rsidR="00131DEF" w:rsidRPr="00CF5B13" w:rsidRDefault="00131DEF" w:rsidP="00131DEF">
                  <w:pPr>
                    <w:spacing w:after="0" w:line="240" w:lineRule="auto"/>
                    <w:jc w:val="center"/>
                    <w:rPr>
                      <w:rFonts w:ascii="Times New Roman" w:eastAsia="Times New Roman" w:hAnsi="Times New Roman" w:cs="Times New Roman"/>
                      <w:color w:val="000000"/>
                    </w:rPr>
                  </w:pPr>
                  <w:r w:rsidRPr="00CF5B13">
                    <w:rPr>
                      <w:rFonts w:ascii="Times New Roman" w:eastAsia="Times New Roman" w:hAnsi="Times New Roman" w:cs="Times New Roman"/>
                      <w:color w:val="000000"/>
                    </w:rPr>
                    <w:t>43, 3 %</w:t>
                  </w:r>
                </w:p>
              </w:tc>
              <w:tc>
                <w:tcPr>
                  <w:tcW w:w="1276" w:type="dxa"/>
                  <w:tcBorders>
                    <w:top w:val="single" w:sz="4" w:space="0" w:color="auto"/>
                    <w:left w:val="nil"/>
                    <w:bottom w:val="single" w:sz="8" w:space="0" w:color="auto"/>
                    <w:right w:val="single" w:sz="8" w:space="0" w:color="auto"/>
                  </w:tcBorders>
                  <w:shd w:val="clear" w:color="auto" w:fill="auto"/>
                  <w:vAlign w:val="center"/>
                </w:tcPr>
                <w:p w:rsidR="00131DEF" w:rsidRPr="00CF5B13" w:rsidRDefault="00131DEF" w:rsidP="00131DEF">
                  <w:pPr>
                    <w:spacing w:after="0" w:line="240" w:lineRule="auto"/>
                    <w:jc w:val="center"/>
                    <w:rPr>
                      <w:rFonts w:ascii="Times New Roman" w:eastAsia="Times New Roman" w:hAnsi="Times New Roman" w:cs="Times New Roman"/>
                      <w:color w:val="000000"/>
                    </w:rPr>
                  </w:pPr>
                  <w:r w:rsidRPr="00CF5B13">
                    <w:rPr>
                      <w:rFonts w:ascii="Times New Roman" w:eastAsia="Times New Roman" w:hAnsi="Times New Roman" w:cs="Times New Roman"/>
                      <w:color w:val="000000"/>
                    </w:rPr>
                    <w:t>52, 5 %</w:t>
                  </w:r>
                </w:p>
              </w:tc>
              <w:tc>
                <w:tcPr>
                  <w:tcW w:w="1843" w:type="dxa"/>
                  <w:tcBorders>
                    <w:top w:val="single" w:sz="4" w:space="0" w:color="auto"/>
                    <w:left w:val="nil"/>
                    <w:bottom w:val="single" w:sz="8" w:space="0" w:color="auto"/>
                    <w:right w:val="single" w:sz="8" w:space="0" w:color="auto"/>
                  </w:tcBorders>
                  <w:shd w:val="clear" w:color="auto" w:fill="auto"/>
                  <w:vAlign w:val="center"/>
                </w:tcPr>
                <w:p w:rsidR="00131DEF" w:rsidRPr="00CF5B13" w:rsidRDefault="00131DEF" w:rsidP="00131DEF">
                  <w:pPr>
                    <w:spacing w:after="0" w:line="240" w:lineRule="auto"/>
                    <w:jc w:val="center"/>
                    <w:rPr>
                      <w:rFonts w:ascii="Times New Roman" w:eastAsia="Times New Roman" w:hAnsi="Times New Roman" w:cs="Times New Roman"/>
                      <w:color w:val="000000"/>
                    </w:rPr>
                  </w:pPr>
                  <w:r w:rsidRPr="00CF5B13">
                    <w:rPr>
                      <w:rFonts w:ascii="Times New Roman" w:eastAsia="Times New Roman" w:hAnsi="Times New Roman" w:cs="Times New Roman"/>
                      <w:color w:val="000000"/>
                    </w:rPr>
                    <w:t>47, 5 %</w:t>
                  </w:r>
                </w:p>
              </w:tc>
            </w:tr>
            <w:tr w:rsidR="00131DEF" w:rsidRPr="00CF5B13" w:rsidTr="00501C0A">
              <w:trPr>
                <w:trHeight w:hRule="exact" w:val="510"/>
              </w:trPr>
              <w:tc>
                <w:tcPr>
                  <w:tcW w:w="1266" w:type="dxa"/>
                  <w:tcBorders>
                    <w:top w:val="single" w:sz="4" w:space="0" w:color="auto"/>
                    <w:left w:val="nil"/>
                    <w:bottom w:val="nil"/>
                    <w:right w:val="nil"/>
                  </w:tcBorders>
                  <w:shd w:val="clear" w:color="auto" w:fill="auto"/>
                  <w:noWrap/>
                  <w:vAlign w:val="bottom"/>
                  <w:hideMark/>
                </w:tcPr>
                <w:p w:rsidR="00131DEF" w:rsidRPr="00CF5B13" w:rsidRDefault="00131DEF" w:rsidP="00131DEF">
                  <w:pPr>
                    <w:spacing w:after="0" w:line="240" w:lineRule="auto"/>
                    <w:rPr>
                      <w:rFonts w:ascii="Times New Roman" w:eastAsia="Times New Roman" w:hAnsi="Times New Roman" w:cs="Times New Roman"/>
                      <w:color w:val="000000"/>
                    </w:rPr>
                  </w:pPr>
                </w:p>
                <w:p w:rsidR="00131DEF" w:rsidRPr="00CF5B13" w:rsidRDefault="00131DEF" w:rsidP="00131DEF">
                  <w:pPr>
                    <w:spacing w:after="0" w:line="240" w:lineRule="auto"/>
                    <w:rPr>
                      <w:rFonts w:ascii="Times New Roman" w:eastAsia="Times New Roman" w:hAnsi="Times New Roman" w:cs="Times New Roman"/>
                      <w:color w:val="000000"/>
                    </w:rPr>
                  </w:pPr>
                </w:p>
                <w:p w:rsidR="00131DEF" w:rsidRPr="00CF5B13" w:rsidRDefault="00131DEF" w:rsidP="00131DEF">
                  <w:pPr>
                    <w:spacing w:after="0" w:line="240" w:lineRule="auto"/>
                    <w:rPr>
                      <w:rFonts w:ascii="Times New Roman" w:eastAsia="Times New Roman" w:hAnsi="Times New Roman" w:cs="Times New Roman"/>
                      <w:color w:val="000000"/>
                    </w:rPr>
                  </w:pPr>
                </w:p>
              </w:tc>
              <w:tc>
                <w:tcPr>
                  <w:tcW w:w="1418" w:type="dxa"/>
                  <w:tcBorders>
                    <w:top w:val="nil"/>
                    <w:left w:val="nil"/>
                    <w:bottom w:val="nil"/>
                    <w:right w:val="nil"/>
                  </w:tcBorders>
                  <w:shd w:val="clear" w:color="auto" w:fill="auto"/>
                  <w:noWrap/>
                  <w:vAlign w:val="bottom"/>
                  <w:hideMark/>
                </w:tcPr>
                <w:p w:rsidR="00131DEF" w:rsidRPr="00CF5B13" w:rsidRDefault="00131DEF" w:rsidP="00131DEF">
                  <w:pPr>
                    <w:spacing w:after="0" w:line="240" w:lineRule="auto"/>
                    <w:rPr>
                      <w:rFonts w:ascii="Times New Roman" w:eastAsia="Times New Roman" w:hAnsi="Times New Roman" w:cs="Times New Roman"/>
                    </w:rPr>
                  </w:pPr>
                </w:p>
              </w:tc>
              <w:tc>
                <w:tcPr>
                  <w:tcW w:w="1275" w:type="dxa"/>
                  <w:tcBorders>
                    <w:top w:val="nil"/>
                    <w:left w:val="nil"/>
                    <w:bottom w:val="nil"/>
                    <w:right w:val="nil"/>
                  </w:tcBorders>
                  <w:shd w:val="clear" w:color="auto" w:fill="auto"/>
                  <w:noWrap/>
                  <w:vAlign w:val="bottom"/>
                  <w:hideMark/>
                </w:tcPr>
                <w:p w:rsidR="00131DEF" w:rsidRPr="00CF5B13" w:rsidRDefault="00131DEF" w:rsidP="00131DEF">
                  <w:pPr>
                    <w:spacing w:after="0" w:line="240" w:lineRule="auto"/>
                    <w:rPr>
                      <w:rFonts w:ascii="Times New Roman" w:eastAsia="Times New Roman" w:hAnsi="Times New Roman" w:cs="Times New Roman"/>
                    </w:rPr>
                  </w:pPr>
                </w:p>
              </w:tc>
              <w:tc>
                <w:tcPr>
                  <w:tcW w:w="1276" w:type="dxa"/>
                  <w:gridSpan w:val="2"/>
                  <w:tcBorders>
                    <w:top w:val="nil"/>
                    <w:left w:val="nil"/>
                    <w:bottom w:val="nil"/>
                    <w:right w:val="nil"/>
                  </w:tcBorders>
                  <w:shd w:val="clear" w:color="auto" w:fill="auto"/>
                  <w:noWrap/>
                  <w:vAlign w:val="bottom"/>
                  <w:hideMark/>
                </w:tcPr>
                <w:p w:rsidR="00131DEF" w:rsidRPr="00CF5B13" w:rsidRDefault="00131DEF" w:rsidP="00131DEF">
                  <w:pPr>
                    <w:spacing w:after="0" w:line="240" w:lineRule="auto"/>
                    <w:rPr>
                      <w:rFonts w:ascii="Times New Roman" w:eastAsia="Times New Roman" w:hAnsi="Times New Roman" w:cs="Times New Roman"/>
                    </w:rPr>
                  </w:pPr>
                </w:p>
              </w:tc>
              <w:tc>
                <w:tcPr>
                  <w:tcW w:w="1276" w:type="dxa"/>
                  <w:tcBorders>
                    <w:top w:val="nil"/>
                    <w:left w:val="nil"/>
                    <w:bottom w:val="nil"/>
                    <w:right w:val="nil"/>
                  </w:tcBorders>
                  <w:shd w:val="clear" w:color="auto" w:fill="auto"/>
                  <w:noWrap/>
                  <w:vAlign w:val="bottom"/>
                </w:tcPr>
                <w:p w:rsidR="00131DEF" w:rsidRPr="00CF5B13" w:rsidRDefault="00131DEF" w:rsidP="00131DEF">
                  <w:pPr>
                    <w:spacing w:after="0" w:line="240" w:lineRule="auto"/>
                    <w:rPr>
                      <w:rFonts w:ascii="Times New Roman" w:eastAsia="Times New Roman" w:hAnsi="Times New Roman" w:cs="Times New Roman"/>
                    </w:rPr>
                  </w:pPr>
                </w:p>
              </w:tc>
              <w:tc>
                <w:tcPr>
                  <w:tcW w:w="1843" w:type="dxa"/>
                  <w:tcBorders>
                    <w:top w:val="nil"/>
                    <w:left w:val="nil"/>
                    <w:bottom w:val="nil"/>
                    <w:right w:val="nil"/>
                  </w:tcBorders>
                  <w:shd w:val="clear" w:color="auto" w:fill="auto"/>
                  <w:noWrap/>
                  <w:vAlign w:val="bottom"/>
                </w:tcPr>
                <w:p w:rsidR="00131DEF" w:rsidRPr="00CF5B13" w:rsidRDefault="00131DEF" w:rsidP="00131DEF">
                  <w:pPr>
                    <w:spacing w:after="0" w:line="240" w:lineRule="auto"/>
                    <w:rPr>
                      <w:rFonts w:ascii="Times New Roman" w:eastAsia="Times New Roman" w:hAnsi="Times New Roman" w:cs="Times New Roman"/>
                    </w:rPr>
                  </w:pPr>
                </w:p>
              </w:tc>
            </w:tr>
            <w:tr w:rsidR="00131DEF" w:rsidRPr="00CF5B13" w:rsidTr="00F34662">
              <w:trPr>
                <w:trHeight w:val="330"/>
              </w:trPr>
              <w:tc>
                <w:tcPr>
                  <w:tcW w:w="8354"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131DEF" w:rsidRPr="00CF5B13" w:rsidRDefault="00131DEF" w:rsidP="00131DEF">
                  <w:pPr>
                    <w:spacing w:after="0" w:line="240" w:lineRule="auto"/>
                    <w:rPr>
                      <w:rFonts w:ascii="Times New Roman" w:eastAsia="Times New Roman" w:hAnsi="Times New Roman" w:cs="Times New Roman"/>
                      <w:b/>
                      <w:bCs/>
                      <w:color w:val="000000"/>
                    </w:rPr>
                  </w:pPr>
                  <w:r w:rsidRPr="00CF5B13">
                    <w:rPr>
                      <w:rFonts w:ascii="Times New Roman" w:eastAsia="Times New Roman" w:hAnsi="Times New Roman" w:cs="Times New Roman"/>
                      <w:b/>
                      <w:bCs/>
                      <w:color w:val="000000"/>
                      <w:lang w:val="cs-CZ"/>
                    </w:rPr>
                    <w:lastRenderedPageBreak/>
                    <w:t>Vyšší odborné vzdělávání</w:t>
                  </w:r>
                  <w:r w:rsidRPr="00CF5B13">
                    <w:rPr>
                      <w:rFonts w:ascii="Times New Roman" w:eastAsia="Times New Roman" w:hAnsi="Times New Roman" w:cs="Times New Roman"/>
                      <w:b/>
                      <w:bCs/>
                      <w:color w:val="000000"/>
                    </w:rPr>
                    <w:t xml:space="preserve"> (</w:t>
                  </w:r>
                  <w:r w:rsidRPr="00CF5B13">
                    <w:rPr>
                      <w:rFonts w:ascii="Times New Roman" w:eastAsia="Times New Roman" w:hAnsi="Times New Roman" w:cs="Times New Roman"/>
                      <w:b/>
                      <w:bCs/>
                      <w:color w:val="000000"/>
                      <w:lang w:val="cs-CZ"/>
                    </w:rPr>
                    <w:t>VPŠ a SPŠ MV v Holešově)</w:t>
                  </w:r>
                </w:p>
              </w:tc>
            </w:tr>
            <w:tr w:rsidR="00131DEF" w:rsidRPr="00CF5B13" w:rsidTr="00F34662">
              <w:trPr>
                <w:trHeight w:val="315"/>
              </w:trPr>
              <w:tc>
                <w:tcPr>
                  <w:tcW w:w="8354"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131DEF" w:rsidRPr="00CF5B13" w:rsidRDefault="00131DEF" w:rsidP="00131DEF">
                  <w:pPr>
                    <w:spacing w:after="0" w:line="240" w:lineRule="auto"/>
                    <w:rPr>
                      <w:rFonts w:ascii="Times New Roman" w:eastAsia="Times New Roman" w:hAnsi="Times New Roman" w:cs="Times New Roman"/>
                      <w:color w:val="000000"/>
                    </w:rPr>
                  </w:pPr>
                  <w:r w:rsidRPr="00CF5B13">
                    <w:rPr>
                      <w:rFonts w:ascii="Times New Roman" w:eastAsia="Times New Roman" w:hAnsi="Times New Roman" w:cs="Times New Roman"/>
                      <w:color w:val="000000"/>
                    </w:rPr>
                    <w:t>Školní rok 2022/2023</w:t>
                  </w:r>
                </w:p>
              </w:tc>
            </w:tr>
            <w:tr w:rsidR="00131DEF" w:rsidRPr="00CF5B13" w:rsidTr="00F34662">
              <w:trPr>
                <w:trHeight w:val="450"/>
              </w:trPr>
              <w:tc>
                <w:tcPr>
                  <w:tcW w:w="2684"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131DEF" w:rsidRPr="00CF5B13" w:rsidRDefault="00131DEF" w:rsidP="0016711F">
                  <w:pPr>
                    <w:spacing w:after="0" w:line="240" w:lineRule="auto"/>
                    <w:jc w:val="center"/>
                    <w:rPr>
                      <w:rFonts w:ascii="Times New Roman" w:eastAsia="Times New Roman" w:hAnsi="Times New Roman" w:cs="Times New Roman"/>
                      <w:color w:val="000000"/>
                    </w:rPr>
                  </w:pPr>
                  <w:r w:rsidRPr="00CF5B13">
                    <w:rPr>
                      <w:rFonts w:ascii="Times New Roman" w:eastAsia="Times New Roman" w:hAnsi="Times New Roman" w:cs="Times New Roman"/>
                      <w:b/>
                      <w:color w:val="000000"/>
                    </w:rPr>
                    <w:t xml:space="preserve">účast při přijímacím řízení </w:t>
                  </w:r>
                  <w:r w:rsidRPr="00CF5B13">
                    <w:rPr>
                      <w:rFonts w:ascii="Times New Roman" w:eastAsia="Times New Roman" w:hAnsi="Times New Roman" w:cs="Times New Roman"/>
                      <w:color w:val="000000"/>
                    </w:rPr>
                    <w:t xml:space="preserve"> (pro šk. rok 2022/2023)</w:t>
                  </w:r>
                </w:p>
              </w:tc>
              <w:tc>
                <w:tcPr>
                  <w:tcW w:w="2551"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16711F" w:rsidRDefault="00131DEF" w:rsidP="00131DEF">
                  <w:pPr>
                    <w:spacing w:after="0" w:line="240" w:lineRule="auto"/>
                    <w:rPr>
                      <w:rFonts w:ascii="Times New Roman" w:eastAsia="Times New Roman" w:hAnsi="Times New Roman" w:cs="Times New Roman"/>
                      <w:b/>
                      <w:color w:val="000000"/>
                    </w:rPr>
                  </w:pPr>
                  <w:r w:rsidRPr="00CF5B13">
                    <w:rPr>
                      <w:rFonts w:ascii="Times New Roman" w:eastAsia="Times New Roman" w:hAnsi="Times New Roman" w:cs="Times New Roman"/>
                      <w:b/>
                      <w:color w:val="000000"/>
                    </w:rPr>
                    <w:t xml:space="preserve">            </w:t>
                  </w:r>
                </w:p>
                <w:p w:rsidR="00131DEF" w:rsidRPr="00CF5B13" w:rsidRDefault="00131DEF" w:rsidP="0016711F">
                  <w:pPr>
                    <w:spacing w:after="0" w:line="240" w:lineRule="auto"/>
                    <w:jc w:val="center"/>
                    <w:rPr>
                      <w:rFonts w:ascii="Times New Roman" w:eastAsia="Times New Roman" w:hAnsi="Times New Roman" w:cs="Times New Roman"/>
                      <w:color w:val="000000"/>
                    </w:rPr>
                  </w:pPr>
                  <w:r w:rsidRPr="00CF5B13">
                    <w:rPr>
                      <w:rFonts w:ascii="Times New Roman" w:eastAsia="Times New Roman" w:hAnsi="Times New Roman" w:cs="Times New Roman"/>
                      <w:b/>
                      <w:color w:val="000000"/>
                    </w:rPr>
                    <w:t>přijato</w:t>
                  </w:r>
                </w:p>
              </w:tc>
              <w:tc>
                <w:tcPr>
                  <w:tcW w:w="3119"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16711F" w:rsidRDefault="00131DEF" w:rsidP="00131DEF">
                  <w:pPr>
                    <w:spacing w:after="0" w:line="240" w:lineRule="auto"/>
                    <w:rPr>
                      <w:rFonts w:ascii="Times New Roman" w:eastAsia="Times New Roman" w:hAnsi="Times New Roman" w:cs="Times New Roman"/>
                      <w:b/>
                      <w:color w:val="000000"/>
                    </w:rPr>
                  </w:pPr>
                  <w:r w:rsidRPr="00CF5B13">
                    <w:rPr>
                      <w:rFonts w:ascii="Times New Roman" w:eastAsia="Times New Roman" w:hAnsi="Times New Roman" w:cs="Times New Roman"/>
                      <w:b/>
                      <w:color w:val="000000"/>
                    </w:rPr>
                    <w:t xml:space="preserve">                   </w:t>
                  </w:r>
                </w:p>
                <w:p w:rsidR="00131DEF" w:rsidRPr="00CF5B13" w:rsidRDefault="00131DEF" w:rsidP="0016711F">
                  <w:pPr>
                    <w:spacing w:after="0" w:line="240" w:lineRule="auto"/>
                    <w:jc w:val="center"/>
                    <w:rPr>
                      <w:rFonts w:ascii="Times New Roman" w:eastAsia="Times New Roman" w:hAnsi="Times New Roman" w:cs="Times New Roman"/>
                      <w:b/>
                      <w:color w:val="000000"/>
                    </w:rPr>
                  </w:pPr>
                  <w:r w:rsidRPr="00CF5B13">
                    <w:rPr>
                      <w:rFonts w:ascii="Times New Roman" w:eastAsia="Times New Roman" w:hAnsi="Times New Roman" w:cs="Times New Roman"/>
                      <w:b/>
                      <w:color w:val="000000"/>
                    </w:rPr>
                    <w:t>celkem studenti</w:t>
                  </w:r>
                </w:p>
              </w:tc>
            </w:tr>
            <w:tr w:rsidR="00131DEF" w:rsidRPr="00CF5B13" w:rsidTr="00F34662">
              <w:trPr>
                <w:trHeight w:val="450"/>
              </w:trPr>
              <w:tc>
                <w:tcPr>
                  <w:tcW w:w="2684" w:type="dxa"/>
                  <w:gridSpan w:val="2"/>
                  <w:vMerge/>
                  <w:tcBorders>
                    <w:top w:val="single" w:sz="8" w:space="0" w:color="auto"/>
                    <w:left w:val="single" w:sz="8" w:space="0" w:color="auto"/>
                    <w:bottom w:val="single" w:sz="8" w:space="0" w:color="000000"/>
                    <w:right w:val="single" w:sz="8" w:space="0" w:color="000000"/>
                  </w:tcBorders>
                  <w:vAlign w:val="center"/>
                  <w:hideMark/>
                </w:tcPr>
                <w:p w:rsidR="00131DEF" w:rsidRPr="00CF5B13" w:rsidRDefault="00131DEF" w:rsidP="00131DEF">
                  <w:pPr>
                    <w:spacing w:after="0" w:line="240" w:lineRule="auto"/>
                    <w:rPr>
                      <w:rFonts w:ascii="Times New Roman" w:eastAsia="Times New Roman" w:hAnsi="Times New Roman" w:cs="Times New Roman"/>
                      <w:color w:val="000000"/>
                    </w:rPr>
                  </w:pPr>
                </w:p>
              </w:tc>
              <w:tc>
                <w:tcPr>
                  <w:tcW w:w="2551" w:type="dxa"/>
                  <w:gridSpan w:val="3"/>
                  <w:vMerge/>
                  <w:tcBorders>
                    <w:top w:val="single" w:sz="8" w:space="0" w:color="auto"/>
                    <w:left w:val="single" w:sz="8" w:space="0" w:color="auto"/>
                    <w:bottom w:val="single" w:sz="8" w:space="0" w:color="000000"/>
                    <w:right w:val="single" w:sz="8" w:space="0" w:color="000000"/>
                  </w:tcBorders>
                  <w:vAlign w:val="center"/>
                  <w:hideMark/>
                </w:tcPr>
                <w:p w:rsidR="00131DEF" w:rsidRPr="00CF5B13" w:rsidRDefault="00131DEF" w:rsidP="00131DEF">
                  <w:pPr>
                    <w:spacing w:after="0" w:line="240" w:lineRule="auto"/>
                    <w:rPr>
                      <w:rFonts w:ascii="Times New Roman" w:eastAsia="Times New Roman" w:hAnsi="Times New Roman" w:cs="Times New Roman"/>
                      <w:color w:val="000000"/>
                    </w:rPr>
                  </w:pPr>
                </w:p>
              </w:tc>
              <w:tc>
                <w:tcPr>
                  <w:tcW w:w="3119" w:type="dxa"/>
                  <w:gridSpan w:val="2"/>
                  <w:vMerge/>
                  <w:tcBorders>
                    <w:top w:val="single" w:sz="8" w:space="0" w:color="auto"/>
                    <w:left w:val="single" w:sz="8" w:space="0" w:color="auto"/>
                    <w:bottom w:val="single" w:sz="8" w:space="0" w:color="000000"/>
                    <w:right w:val="single" w:sz="8" w:space="0" w:color="000000"/>
                  </w:tcBorders>
                  <w:vAlign w:val="center"/>
                  <w:hideMark/>
                </w:tcPr>
                <w:p w:rsidR="00131DEF" w:rsidRPr="00CF5B13" w:rsidRDefault="00131DEF" w:rsidP="00131DEF">
                  <w:pPr>
                    <w:spacing w:after="0" w:line="240" w:lineRule="auto"/>
                    <w:rPr>
                      <w:rFonts w:ascii="Times New Roman" w:eastAsia="Times New Roman" w:hAnsi="Times New Roman" w:cs="Times New Roman"/>
                      <w:color w:val="000000"/>
                    </w:rPr>
                  </w:pPr>
                </w:p>
              </w:tc>
            </w:tr>
            <w:tr w:rsidR="00131DEF" w:rsidRPr="00CF5B13" w:rsidTr="00F34662">
              <w:trPr>
                <w:trHeight w:val="450"/>
              </w:trPr>
              <w:tc>
                <w:tcPr>
                  <w:tcW w:w="2684" w:type="dxa"/>
                  <w:gridSpan w:val="2"/>
                  <w:vMerge/>
                  <w:tcBorders>
                    <w:top w:val="single" w:sz="8" w:space="0" w:color="auto"/>
                    <w:left w:val="single" w:sz="8" w:space="0" w:color="auto"/>
                    <w:bottom w:val="single" w:sz="8" w:space="0" w:color="000000"/>
                    <w:right w:val="single" w:sz="8" w:space="0" w:color="000000"/>
                  </w:tcBorders>
                  <w:vAlign w:val="center"/>
                  <w:hideMark/>
                </w:tcPr>
                <w:p w:rsidR="00131DEF" w:rsidRPr="00CF5B13" w:rsidRDefault="00131DEF" w:rsidP="00131DEF">
                  <w:pPr>
                    <w:spacing w:after="0" w:line="240" w:lineRule="auto"/>
                    <w:rPr>
                      <w:rFonts w:ascii="Times New Roman" w:eastAsia="Times New Roman" w:hAnsi="Times New Roman" w:cs="Times New Roman"/>
                      <w:color w:val="000000"/>
                    </w:rPr>
                  </w:pPr>
                </w:p>
              </w:tc>
              <w:tc>
                <w:tcPr>
                  <w:tcW w:w="2551" w:type="dxa"/>
                  <w:gridSpan w:val="3"/>
                  <w:vMerge/>
                  <w:tcBorders>
                    <w:top w:val="single" w:sz="8" w:space="0" w:color="auto"/>
                    <w:left w:val="single" w:sz="8" w:space="0" w:color="auto"/>
                    <w:bottom w:val="single" w:sz="8" w:space="0" w:color="000000"/>
                    <w:right w:val="single" w:sz="8" w:space="0" w:color="000000"/>
                  </w:tcBorders>
                  <w:vAlign w:val="center"/>
                  <w:hideMark/>
                </w:tcPr>
                <w:p w:rsidR="00131DEF" w:rsidRPr="00CF5B13" w:rsidRDefault="00131DEF" w:rsidP="00131DEF">
                  <w:pPr>
                    <w:spacing w:after="0" w:line="240" w:lineRule="auto"/>
                    <w:rPr>
                      <w:rFonts w:ascii="Times New Roman" w:eastAsia="Times New Roman" w:hAnsi="Times New Roman" w:cs="Times New Roman"/>
                      <w:color w:val="000000"/>
                    </w:rPr>
                  </w:pPr>
                </w:p>
              </w:tc>
              <w:tc>
                <w:tcPr>
                  <w:tcW w:w="3119" w:type="dxa"/>
                  <w:gridSpan w:val="2"/>
                  <w:vMerge/>
                  <w:tcBorders>
                    <w:top w:val="single" w:sz="8" w:space="0" w:color="auto"/>
                    <w:left w:val="single" w:sz="8" w:space="0" w:color="auto"/>
                    <w:bottom w:val="single" w:sz="8" w:space="0" w:color="000000"/>
                    <w:right w:val="single" w:sz="8" w:space="0" w:color="000000"/>
                  </w:tcBorders>
                  <w:vAlign w:val="center"/>
                  <w:hideMark/>
                </w:tcPr>
                <w:p w:rsidR="00131DEF" w:rsidRPr="00CF5B13" w:rsidRDefault="00131DEF" w:rsidP="00131DEF">
                  <w:pPr>
                    <w:spacing w:after="0" w:line="240" w:lineRule="auto"/>
                    <w:rPr>
                      <w:rFonts w:ascii="Times New Roman" w:eastAsia="Times New Roman" w:hAnsi="Times New Roman" w:cs="Times New Roman"/>
                      <w:color w:val="000000"/>
                    </w:rPr>
                  </w:pPr>
                </w:p>
              </w:tc>
            </w:tr>
            <w:tr w:rsidR="00131DEF" w:rsidRPr="00CF5B13" w:rsidTr="00F34662">
              <w:trPr>
                <w:trHeight w:val="315"/>
              </w:trPr>
              <w:tc>
                <w:tcPr>
                  <w:tcW w:w="1266" w:type="dxa"/>
                  <w:tcBorders>
                    <w:top w:val="nil"/>
                    <w:left w:val="single" w:sz="8" w:space="0" w:color="auto"/>
                    <w:bottom w:val="double" w:sz="6" w:space="0" w:color="auto"/>
                    <w:right w:val="single" w:sz="8" w:space="0" w:color="auto"/>
                  </w:tcBorders>
                  <w:shd w:val="clear" w:color="auto" w:fill="auto"/>
                  <w:vAlign w:val="center"/>
                  <w:hideMark/>
                </w:tcPr>
                <w:p w:rsidR="00131DEF" w:rsidRPr="00CF5B13" w:rsidRDefault="00131DEF" w:rsidP="00131DEF">
                  <w:pPr>
                    <w:spacing w:after="0" w:line="240" w:lineRule="auto"/>
                    <w:jc w:val="center"/>
                    <w:rPr>
                      <w:rFonts w:ascii="Times New Roman" w:eastAsia="Times New Roman" w:hAnsi="Times New Roman" w:cs="Times New Roman"/>
                      <w:color w:val="000000"/>
                    </w:rPr>
                  </w:pPr>
                  <w:r w:rsidRPr="00CF5B13">
                    <w:rPr>
                      <w:rFonts w:ascii="Times New Roman" w:eastAsia="Times New Roman" w:hAnsi="Times New Roman" w:cs="Times New Roman"/>
                      <w:color w:val="000000"/>
                    </w:rPr>
                    <w:t>muži</w:t>
                  </w:r>
                </w:p>
              </w:tc>
              <w:tc>
                <w:tcPr>
                  <w:tcW w:w="1418" w:type="dxa"/>
                  <w:tcBorders>
                    <w:top w:val="nil"/>
                    <w:left w:val="nil"/>
                    <w:bottom w:val="double" w:sz="6" w:space="0" w:color="auto"/>
                    <w:right w:val="single" w:sz="8" w:space="0" w:color="auto"/>
                  </w:tcBorders>
                  <w:shd w:val="clear" w:color="auto" w:fill="auto"/>
                  <w:vAlign w:val="center"/>
                  <w:hideMark/>
                </w:tcPr>
                <w:p w:rsidR="00131DEF" w:rsidRPr="00CF5B13" w:rsidRDefault="00131DEF" w:rsidP="00131DEF">
                  <w:pPr>
                    <w:spacing w:after="0" w:line="240" w:lineRule="auto"/>
                    <w:jc w:val="center"/>
                    <w:rPr>
                      <w:rFonts w:ascii="Times New Roman" w:eastAsia="Times New Roman" w:hAnsi="Times New Roman" w:cs="Times New Roman"/>
                      <w:color w:val="000000"/>
                    </w:rPr>
                  </w:pPr>
                  <w:r w:rsidRPr="00CF5B13">
                    <w:rPr>
                      <w:rFonts w:ascii="Times New Roman" w:eastAsia="Times New Roman" w:hAnsi="Times New Roman" w:cs="Times New Roman"/>
                      <w:color w:val="000000"/>
                    </w:rPr>
                    <w:t>ženy</w:t>
                  </w:r>
                </w:p>
              </w:tc>
              <w:tc>
                <w:tcPr>
                  <w:tcW w:w="1275" w:type="dxa"/>
                  <w:tcBorders>
                    <w:top w:val="nil"/>
                    <w:left w:val="nil"/>
                    <w:bottom w:val="double" w:sz="6" w:space="0" w:color="auto"/>
                    <w:right w:val="single" w:sz="8" w:space="0" w:color="auto"/>
                  </w:tcBorders>
                  <w:shd w:val="clear" w:color="auto" w:fill="auto"/>
                  <w:vAlign w:val="center"/>
                  <w:hideMark/>
                </w:tcPr>
                <w:p w:rsidR="00131DEF" w:rsidRPr="00CF5B13" w:rsidRDefault="00131DEF" w:rsidP="00131DEF">
                  <w:pPr>
                    <w:spacing w:after="0" w:line="240" w:lineRule="auto"/>
                    <w:jc w:val="center"/>
                    <w:rPr>
                      <w:rFonts w:ascii="Times New Roman" w:eastAsia="Times New Roman" w:hAnsi="Times New Roman" w:cs="Times New Roman"/>
                      <w:color w:val="000000"/>
                    </w:rPr>
                  </w:pPr>
                  <w:r w:rsidRPr="00CF5B13">
                    <w:rPr>
                      <w:rFonts w:ascii="Times New Roman" w:eastAsia="Times New Roman" w:hAnsi="Times New Roman" w:cs="Times New Roman"/>
                      <w:color w:val="000000"/>
                    </w:rPr>
                    <w:t>muži</w:t>
                  </w:r>
                </w:p>
              </w:tc>
              <w:tc>
                <w:tcPr>
                  <w:tcW w:w="1276" w:type="dxa"/>
                  <w:gridSpan w:val="2"/>
                  <w:tcBorders>
                    <w:top w:val="nil"/>
                    <w:left w:val="nil"/>
                    <w:bottom w:val="double" w:sz="6" w:space="0" w:color="auto"/>
                    <w:right w:val="single" w:sz="8" w:space="0" w:color="auto"/>
                  </w:tcBorders>
                  <w:shd w:val="clear" w:color="auto" w:fill="auto"/>
                  <w:vAlign w:val="center"/>
                  <w:hideMark/>
                </w:tcPr>
                <w:p w:rsidR="00131DEF" w:rsidRPr="00CF5B13" w:rsidRDefault="00131DEF" w:rsidP="00131DEF">
                  <w:pPr>
                    <w:spacing w:after="0" w:line="240" w:lineRule="auto"/>
                    <w:jc w:val="center"/>
                    <w:rPr>
                      <w:rFonts w:ascii="Times New Roman" w:eastAsia="Times New Roman" w:hAnsi="Times New Roman" w:cs="Times New Roman"/>
                      <w:color w:val="000000"/>
                    </w:rPr>
                  </w:pPr>
                  <w:r w:rsidRPr="00CF5B13">
                    <w:rPr>
                      <w:rFonts w:ascii="Times New Roman" w:eastAsia="Times New Roman" w:hAnsi="Times New Roman" w:cs="Times New Roman"/>
                      <w:color w:val="000000"/>
                    </w:rPr>
                    <w:t>ženy</w:t>
                  </w:r>
                </w:p>
              </w:tc>
              <w:tc>
                <w:tcPr>
                  <w:tcW w:w="1276" w:type="dxa"/>
                  <w:tcBorders>
                    <w:top w:val="nil"/>
                    <w:left w:val="nil"/>
                    <w:bottom w:val="double" w:sz="6" w:space="0" w:color="auto"/>
                    <w:right w:val="single" w:sz="8" w:space="0" w:color="auto"/>
                  </w:tcBorders>
                  <w:shd w:val="clear" w:color="auto" w:fill="auto"/>
                  <w:vAlign w:val="center"/>
                  <w:hideMark/>
                </w:tcPr>
                <w:p w:rsidR="00131DEF" w:rsidRPr="00CF5B13" w:rsidRDefault="00131DEF" w:rsidP="00131DEF">
                  <w:pPr>
                    <w:spacing w:after="0" w:line="240" w:lineRule="auto"/>
                    <w:jc w:val="center"/>
                    <w:rPr>
                      <w:rFonts w:ascii="Times New Roman" w:eastAsia="Times New Roman" w:hAnsi="Times New Roman" w:cs="Times New Roman"/>
                      <w:color w:val="000000"/>
                    </w:rPr>
                  </w:pPr>
                  <w:r w:rsidRPr="00CF5B13">
                    <w:rPr>
                      <w:rFonts w:ascii="Times New Roman" w:eastAsia="Times New Roman" w:hAnsi="Times New Roman" w:cs="Times New Roman"/>
                      <w:color w:val="000000"/>
                    </w:rPr>
                    <w:t>muži</w:t>
                  </w:r>
                </w:p>
              </w:tc>
              <w:tc>
                <w:tcPr>
                  <w:tcW w:w="1843" w:type="dxa"/>
                  <w:tcBorders>
                    <w:top w:val="nil"/>
                    <w:left w:val="nil"/>
                    <w:bottom w:val="double" w:sz="6" w:space="0" w:color="auto"/>
                    <w:right w:val="single" w:sz="8" w:space="0" w:color="auto"/>
                  </w:tcBorders>
                  <w:shd w:val="clear" w:color="auto" w:fill="auto"/>
                  <w:vAlign w:val="center"/>
                  <w:hideMark/>
                </w:tcPr>
                <w:p w:rsidR="00131DEF" w:rsidRPr="00CF5B13" w:rsidRDefault="00131DEF" w:rsidP="00131DEF">
                  <w:pPr>
                    <w:spacing w:after="0" w:line="240" w:lineRule="auto"/>
                    <w:jc w:val="center"/>
                    <w:rPr>
                      <w:rFonts w:ascii="Times New Roman" w:eastAsia="Times New Roman" w:hAnsi="Times New Roman" w:cs="Times New Roman"/>
                      <w:color w:val="000000"/>
                    </w:rPr>
                  </w:pPr>
                  <w:r w:rsidRPr="00CF5B13">
                    <w:rPr>
                      <w:rFonts w:ascii="Times New Roman" w:eastAsia="Times New Roman" w:hAnsi="Times New Roman" w:cs="Times New Roman"/>
                      <w:color w:val="000000"/>
                    </w:rPr>
                    <w:t>ženy</w:t>
                  </w:r>
                </w:p>
              </w:tc>
            </w:tr>
            <w:tr w:rsidR="00131DEF" w:rsidRPr="00CF5B13" w:rsidTr="00F34662">
              <w:trPr>
                <w:trHeight w:val="330"/>
              </w:trPr>
              <w:tc>
                <w:tcPr>
                  <w:tcW w:w="1266" w:type="dxa"/>
                  <w:tcBorders>
                    <w:top w:val="nil"/>
                    <w:left w:val="single" w:sz="8" w:space="0" w:color="auto"/>
                    <w:bottom w:val="single" w:sz="8" w:space="0" w:color="auto"/>
                    <w:right w:val="single" w:sz="8" w:space="0" w:color="auto"/>
                  </w:tcBorders>
                  <w:shd w:val="clear" w:color="auto" w:fill="auto"/>
                  <w:vAlign w:val="center"/>
                </w:tcPr>
                <w:p w:rsidR="00131DEF" w:rsidRPr="00CF5B13" w:rsidRDefault="00131DEF" w:rsidP="00131DEF">
                  <w:pPr>
                    <w:spacing w:after="0" w:line="240" w:lineRule="auto"/>
                    <w:jc w:val="center"/>
                    <w:rPr>
                      <w:rFonts w:ascii="Times New Roman" w:eastAsia="Times New Roman" w:hAnsi="Times New Roman" w:cs="Times New Roman"/>
                      <w:color w:val="000000"/>
                    </w:rPr>
                  </w:pPr>
                  <w:r w:rsidRPr="00CF5B13">
                    <w:rPr>
                      <w:rFonts w:ascii="Times New Roman" w:eastAsia="Times New Roman" w:hAnsi="Times New Roman" w:cs="Times New Roman"/>
                      <w:color w:val="000000"/>
                    </w:rPr>
                    <w:t>130</w:t>
                  </w:r>
                </w:p>
              </w:tc>
              <w:tc>
                <w:tcPr>
                  <w:tcW w:w="1418" w:type="dxa"/>
                  <w:tcBorders>
                    <w:top w:val="nil"/>
                    <w:left w:val="nil"/>
                    <w:bottom w:val="single" w:sz="8" w:space="0" w:color="auto"/>
                    <w:right w:val="single" w:sz="8" w:space="0" w:color="auto"/>
                  </w:tcBorders>
                  <w:shd w:val="clear" w:color="auto" w:fill="auto"/>
                  <w:vAlign w:val="center"/>
                </w:tcPr>
                <w:p w:rsidR="00131DEF" w:rsidRPr="00CF5B13" w:rsidRDefault="00131DEF" w:rsidP="00131DEF">
                  <w:pPr>
                    <w:spacing w:after="0" w:line="240" w:lineRule="auto"/>
                    <w:jc w:val="center"/>
                    <w:rPr>
                      <w:rFonts w:ascii="Times New Roman" w:eastAsia="Times New Roman" w:hAnsi="Times New Roman" w:cs="Times New Roman"/>
                      <w:color w:val="000000"/>
                    </w:rPr>
                  </w:pPr>
                  <w:r w:rsidRPr="00CF5B13">
                    <w:rPr>
                      <w:rFonts w:ascii="Times New Roman" w:eastAsia="Times New Roman" w:hAnsi="Times New Roman" w:cs="Times New Roman"/>
                      <w:color w:val="000000"/>
                    </w:rPr>
                    <w:t>27</w:t>
                  </w:r>
                </w:p>
              </w:tc>
              <w:tc>
                <w:tcPr>
                  <w:tcW w:w="1275" w:type="dxa"/>
                  <w:tcBorders>
                    <w:top w:val="nil"/>
                    <w:left w:val="nil"/>
                    <w:bottom w:val="single" w:sz="8" w:space="0" w:color="auto"/>
                    <w:right w:val="single" w:sz="8" w:space="0" w:color="auto"/>
                  </w:tcBorders>
                  <w:shd w:val="clear" w:color="auto" w:fill="auto"/>
                  <w:vAlign w:val="center"/>
                </w:tcPr>
                <w:p w:rsidR="00131DEF" w:rsidRPr="00CF5B13" w:rsidRDefault="00131DEF" w:rsidP="00131DEF">
                  <w:pPr>
                    <w:spacing w:after="0" w:line="240" w:lineRule="auto"/>
                    <w:jc w:val="center"/>
                    <w:rPr>
                      <w:rFonts w:ascii="Times New Roman" w:eastAsia="Times New Roman" w:hAnsi="Times New Roman" w:cs="Times New Roman"/>
                      <w:color w:val="000000"/>
                    </w:rPr>
                  </w:pPr>
                  <w:r w:rsidRPr="00CF5B13">
                    <w:rPr>
                      <w:rFonts w:ascii="Times New Roman" w:eastAsia="Times New Roman" w:hAnsi="Times New Roman" w:cs="Times New Roman"/>
                      <w:color w:val="000000"/>
                    </w:rPr>
                    <w:t>124</w:t>
                  </w:r>
                </w:p>
              </w:tc>
              <w:tc>
                <w:tcPr>
                  <w:tcW w:w="1276" w:type="dxa"/>
                  <w:gridSpan w:val="2"/>
                  <w:tcBorders>
                    <w:top w:val="nil"/>
                    <w:left w:val="nil"/>
                    <w:bottom w:val="single" w:sz="8" w:space="0" w:color="auto"/>
                    <w:right w:val="single" w:sz="8" w:space="0" w:color="auto"/>
                  </w:tcBorders>
                  <w:shd w:val="clear" w:color="auto" w:fill="auto"/>
                  <w:vAlign w:val="center"/>
                </w:tcPr>
                <w:p w:rsidR="00131DEF" w:rsidRPr="00CF5B13" w:rsidRDefault="00131DEF" w:rsidP="00131DEF">
                  <w:pPr>
                    <w:spacing w:after="0" w:line="240" w:lineRule="auto"/>
                    <w:jc w:val="center"/>
                    <w:rPr>
                      <w:rFonts w:ascii="Times New Roman" w:eastAsia="Times New Roman" w:hAnsi="Times New Roman" w:cs="Times New Roman"/>
                      <w:color w:val="000000"/>
                    </w:rPr>
                  </w:pPr>
                  <w:r w:rsidRPr="00CF5B13">
                    <w:rPr>
                      <w:rFonts w:ascii="Times New Roman" w:eastAsia="Times New Roman" w:hAnsi="Times New Roman" w:cs="Times New Roman"/>
                      <w:color w:val="000000"/>
                    </w:rPr>
                    <w:t>23</w:t>
                  </w:r>
                </w:p>
              </w:tc>
              <w:tc>
                <w:tcPr>
                  <w:tcW w:w="1276" w:type="dxa"/>
                  <w:tcBorders>
                    <w:top w:val="nil"/>
                    <w:left w:val="nil"/>
                    <w:bottom w:val="single" w:sz="8" w:space="0" w:color="auto"/>
                    <w:right w:val="single" w:sz="8" w:space="0" w:color="auto"/>
                  </w:tcBorders>
                  <w:shd w:val="clear" w:color="auto" w:fill="auto"/>
                  <w:vAlign w:val="center"/>
                </w:tcPr>
                <w:p w:rsidR="00131DEF" w:rsidRPr="00CF5B13" w:rsidRDefault="00131DEF" w:rsidP="00131DEF">
                  <w:pPr>
                    <w:spacing w:after="0" w:line="240" w:lineRule="auto"/>
                    <w:jc w:val="center"/>
                    <w:rPr>
                      <w:rFonts w:ascii="Times New Roman" w:eastAsia="Times New Roman" w:hAnsi="Times New Roman" w:cs="Times New Roman"/>
                      <w:color w:val="000000"/>
                    </w:rPr>
                  </w:pPr>
                  <w:r w:rsidRPr="00CF5B13">
                    <w:rPr>
                      <w:rFonts w:ascii="Times New Roman" w:eastAsia="Times New Roman" w:hAnsi="Times New Roman" w:cs="Times New Roman"/>
                      <w:color w:val="000000"/>
                    </w:rPr>
                    <w:t>158</w:t>
                  </w:r>
                </w:p>
              </w:tc>
              <w:tc>
                <w:tcPr>
                  <w:tcW w:w="1843" w:type="dxa"/>
                  <w:tcBorders>
                    <w:top w:val="nil"/>
                    <w:left w:val="nil"/>
                    <w:bottom w:val="single" w:sz="8" w:space="0" w:color="auto"/>
                    <w:right w:val="single" w:sz="8" w:space="0" w:color="auto"/>
                  </w:tcBorders>
                  <w:shd w:val="clear" w:color="auto" w:fill="auto"/>
                  <w:vAlign w:val="center"/>
                </w:tcPr>
                <w:p w:rsidR="00131DEF" w:rsidRPr="00CF5B13" w:rsidRDefault="00131DEF" w:rsidP="00131DEF">
                  <w:pPr>
                    <w:spacing w:after="0" w:line="240" w:lineRule="auto"/>
                    <w:jc w:val="center"/>
                    <w:rPr>
                      <w:rFonts w:ascii="Times New Roman" w:eastAsia="Times New Roman" w:hAnsi="Times New Roman" w:cs="Times New Roman"/>
                      <w:color w:val="000000"/>
                    </w:rPr>
                  </w:pPr>
                  <w:r w:rsidRPr="00CF5B13">
                    <w:rPr>
                      <w:rFonts w:ascii="Times New Roman" w:eastAsia="Times New Roman" w:hAnsi="Times New Roman" w:cs="Times New Roman"/>
                      <w:color w:val="000000"/>
                    </w:rPr>
                    <w:t>28</w:t>
                  </w:r>
                </w:p>
              </w:tc>
            </w:tr>
            <w:tr w:rsidR="00131DEF" w:rsidRPr="00CF5B13" w:rsidTr="00F34662">
              <w:trPr>
                <w:trHeight w:val="330"/>
              </w:trPr>
              <w:tc>
                <w:tcPr>
                  <w:tcW w:w="1266" w:type="dxa"/>
                  <w:tcBorders>
                    <w:top w:val="nil"/>
                    <w:left w:val="single" w:sz="8" w:space="0" w:color="auto"/>
                    <w:bottom w:val="single" w:sz="8" w:space="0" w:color="auto"/>
                    <w:right w:val="single" w:sz="8" w:space="0" w:color="auto"/>
                  </w:tcBorders>
                  <w:shd w:val="clear" w:color="auto" w:fill="auto"/>
                  <w:vAlign w:val="center"/>
                </w:tcPr>
                <w:p w:rsidR="00131DEF" w:rsidRPr="00CF5B13" w:rsidRDefault="00131DEF" w:rsidP="00131DEF">
                  <w:pPr>
                    <w:spacing w:after="0" w:line="240" w:lineRule="auto"/>
                    <w:jc w:val="center"/>
                    <w:rPr>
                      <w:rFonts w:ascii="Times New Roman" w:eastAsia="Times New Roman" w:hAnsi="Times New Roman" w:cs="Times New Roman"/>
                      <w:color w:val="000000"/>
                    </w:rPr>
                  </w:pPr>
                </w:p>
              </w:tc>
              <w:tc>
                <w:tcPr>
                  <w:tcW w:w="1418" w:type="dxa"/>
                  <w:tcBorders>
                    <w:top w:val="nil"/>
                    <w:left w:val="nil"/>
                    <w:bottom w:val="single" w:sz="8" w:space="0" w:color="auto"/>
                    <w:right w:val="single" w:sz="8" w:space="0" w:color="auto"/>
                  </w:tcBorders>
                  <w:shd w:val="clear" w:color="auto" w:fill="auto"/>
                  <w:vAlign w:val="center"/>
                </w:tcPr>
                <w:p w:rsidR="00131DEF" w:rsidRPr="00CF5B13" w:rsidRDefault="00131DEF" w:rsidP="00131DEF">
                  <w:pPr>
                    <w:spacing w:after="0" w:line="240" w:lineRule="auto"/>
                    <w:jc w:val="center"/>
                    <w:rPr>
                      <w:rFonts w:ascii="Times New Roman" w:eastAsia="Times New Roman" w:hAnsi="Times New Roman" w:cs="Times New Roman"/>
                      <w:color w:val="000000"/>
                    </w:rPr>
                  </w:pPr>
                </w:p>
              </w:tc>
              <w:tc>
                <w:tcPr>
                  <w:tcW w:w="1275" w:type="dxa"/>
                  <w:tcBorders>
                    <w:top w:val="nil"/>
                    <w:left w:val="nil"/>
                    <w:bottom w:val="single" w:sz="8" w:space="0" w:color="auto"/>
                    <w:right w:val="single" w:sz="8" w:space="0" w:color="auto"/>
                  </w:tcBorders>
                  <w:shd w:val="clear" w:color="auto" w:fill="auto"/>
                  <w:vAlign w:val="center"/>
                </w:tcPr>
                <w:p w:rsidR="00131DEF" w:rsidRPr="00CF5B13" w:rsidRDefault="00131DEF" w:rsidP="00131DEF">
                  <w:pPr>
                    <w:spacing w:after="0" w:line="240" w:lineRule="auto"/>
                    <w:jc w:val="center"/>
                    <w:rPr>
                      <w:rFonts w:ascii="Times New Roman" w:eastAsia="Times New Roman" w:hAnsi="Times New Roman" w:cs="Times New Roman"/>
                      <w:color w:val="000000"/>
                    </w:rPr>
                  </w:pPr>
                  <w:r w:rsidRPr="00CF5B13">
                    <w:rPr>
                      <w:rFonts w:ascii="Times New Roman" w:eastAsia="Times New Roman" w:hAnsi="Times New Roman" w:cs="Times New Roman"/>
                      <w:color w:val="000000"/>
                    </w:rPr>
                    <w:t>84, 4 %</w:t>
                  </w:r>
                </w:p>
              </w:tc>
              <w:tc>
                <w:tcPr>
                  <w:tcW w:w="1276" w:type="dxa"/>
                  <w:gridSpan w:val="2"/>
                  <w:tcBorders>
                    <w:top w:val="nil"/>
                    <w:left w:val="nil"/>
                    <w:bottom w:val="single" w:sz="8" w:space="0" w:color="auto"/>
                    <w:right w:val="single" w:sz="8" w:space="0" w:color="auto"/>
                  </w:tcBorders>
                  <w:shd w:val="clear" w:color="auto" w:fill="auto"/>
                  <w:vAlign w:val="center"/>
                </w:tcPr>
                <w:p w:rsidR="00131DEF" w:rsidRPr="00CF5B13" w:rsidRDefault="00131DEF" w:rsidP="00131DEF">
                  <w:pPr>
                    <w:spacing w:after="0" w:line="240" w:lineRule="auto"/>
                    <w:jc w:val="center"/>
                    <w:rPr>
                      <w:rFonts w:ascii="Times New Roman" w:eastAsia="Times New Roman" w:hAnsi="Times New Roman" w:cs="Times New Roman"/>
                      <w:color w:val="000000"/>
                    </w:rPr>
                  </w:pPr>
                  <w:r w:rsidRPr="00CF5B13">
                    <w:rPr>
                      <w:rFonts w:ascii="Times New Roman" w:eastAsia="Times New Roman" w:hAnsi="Times New Roman" w:cs="Times New Roman"/>
                      <w:color w:val="000000"/>
                    </w:rPr>
                    <w:t>15, 6 %</w:t>
                  </w:r>
                </w:p>
              </w:tc>
              <w:tc>
                <w:tcPr>
                  <w:tcW w:w="1276" w:type="dxa"/>
                  <w:tcBorders>
                    <w:top w:val="nil"/>
                    <w:left w:val="nil"/>
                    <w:bottom w:val="single" w:sz="8" w:space="0" w:color="auto"/>
                    <w:right w:val="single" w:sz="8" w:space="0" w:color="auto"/>
                  </w:tcBorders>
                  <w:shd w:val="clear" w:color="auto" w:fill="auto"/>
                  <w:vAlign w:val="center"/>
                </w:tcPr>
                <w:p w:rsidR="00131DEF" w:rsidRPr="00CF5B13" w:rsidRDefault="00131DEF" w:rsidP="00131DEF">
                  <w:pPr>
                    <w:spacing w:after="0" w:line="240" w:lineRule="auto"/>
                    <w:jc w:val="center"/>
                    <w:rPr>
                      <w:rFonts w:ascii="Times New Roman" w:eastAsia="Times New Roman" w:hAnsi="Times New Roman" w:cs="Times New Roman"/>
                      <w:color w:val="000000"/>
                    </w:rPr>
                  </w:pPr>
                  <w:r w:rsidRPr="00CF5B13">
                    <w:rPr>
                      <w:rFonts w:ascii="Times New Roman" w:eastAsia="Times New Roman" w:hAnsi="Times New Roman" w:cs="Times New Roman"/>
                      <w:color w:val="000000"/>
                    </w:rPr>
                    <w:t>85 %</w:t>
                  </w:r>
                </w:p>
              </w:tc>
              <w:tc>
                <w:tcPr>
                  <w:tcW w:w="1843" w:type="dxa"/>
                  <w:tcBorders>
                    <w:top w:val="nil"/>
                    <w:left w:val="nil"/>
                    <w:bottom w:val="single" w:sz="8" w:space="0" w:color="auto"/>
                    <w:right w:val="single" w:sz="8" w:space="0" w:color="auto"/>
                  </w:tcBorders>
                  <w:shd w:val="clear" w:color="auto" w:fill="auto"/>
                  <w:vAlign w:val="center"/>
                </w:tcPr>
                <w:p w:rsidR="00131DEF" w:rsidRPr="00CF5B13" w:rsidRDefault="00131DEF" w:rsidP="00131DEF">
                  <w:pPr>
                    <w:spacing w:after="0" w:line="240" w:lineRule="auto"/>
                    <w:jc w:val="center"/>
                    <w:rPr>
                      <w:rFonts w:ascii="Times New Roman" w:eastAsia="Times New Roman" w:hAnsi="Times New Roman" w:cs="Times New Roman"/>
                      <w:color w:val="000000"/>
                    </w:rPr>
                  </w:pPr>
                  <w:r w:rsidRPr="00CF5B13">
                    <w:rPr>
                      <w:rFonts w:ascii="Times New Roman" w:eastAsia="Times New Roman" w:hAnsi="Times New Roman" w:cs="Times New Roman"/>
                      <w:color w:val="000000"/>
                    </w:rPr>
                    <w:t>15 %</w:t>
                  </w:r>
                </w:p>
              </w:tc>
            </w:tr>
            <w:tr w:rsidR="00131DEF" w:rsidRPr="00CF5B13" w:rsidTr="00501C0A">
              <w:trPr>
                <w:trHeight w:hRule="exact" w:val="510"/>
              </w:trPr>
              <w:tc>
                <w:tcPr>
                  <w:tcW w:w="1266" w:type="dxa"/>
                  <w:tcBorders>
                    <w:top w:val="nil"/>
                    <w:left w:val="nil"/>
                    <w:bottom w:val="nil"/>
                    <w:right w:val="nil"/>
                  </w:tcBorders>
                  <w:shd w:val="clear" w:color="auto" w:fill="auto"/>
                  <w:noWrap/>
                  <w:vAlign w:val="bottom"/>
                  <w:hideMark/>
                </w:tcPr>
                <w:p w:rsidR="00131DEF" w:rsidRPr="00CF5B13" w:rsidRDefault="00131DEF" w:rsidP="00131DEF">
                  <w:pPr>
                    <w:spacing w:after="0" w:line="240" w:lineRule="auto"/>
                    <w:rPr>
                      <w:rFonts w:ascii="Times New Roman" w:eastAsia="Times New Roman" w:hAnsi="Times New Roman" w:cs="Times New Roman"/>
                      <w:color w:val="000000"/>
                      <w:sz w:val="20"/>
                      <w:szCs w:val="20"/>
                    </w:rPr>
                  </w:pPr>
                </w:p>
              </w:tc>
              <w:tc>
                <w:tcPr>
                  <w:tcW w:w="1418" w:type="dxa"/>
                  <w:tcBorders>
                    <w:top w:val="nil"/>
                    <w:left w:val="nil"/>
                    <w:bottom w:val="nil"/>
                    <w:right w:val="nil"/>
                  </w:tcBorders>
                  <w:shd w:val="clear" w:color="auto" w:fill="auto"/>
                  <w:noWrap/>
                  <w:vAlign w:val="bottom"/>
                  <w:hideMark/>
                </w:tcPr>
                <w:p w:rsidR="00131DEF" w:rsidRPr="00CF5B13" w:rsidRDefault="00131DEF" w:rsidP="00131DEF">
                  <w:pPr>
                    <w:spacing w:after="1320" w:line="240" w:lineRule="auto"/>
                    <w:rPr>
                      <w:rFonts w:ascii="Times New Roman" w:eastAsia="Times New Roman" w:hAnsi="Times New Roman" w:cs="Times New Roman"/>
                      <w:sz w:val="20"/>
                      <w:szCs w:val="20"/>
                    </w:rPr>
                  </w:pPr>
                </w:p>
              </w:tc>
              <w:tc>
                <w:tcPr>
                  <w:tcW w:w="1275" w:type="dxa"/>
                  <w:tcBorders>
                    <w:top w:val="nil"/>
                    <w:left w:val="nil"/>
                    <w:bottom w:val="nil"/>
                    <w:right w:val="nil"/>
                  </w:tcBorders>
                  <w:shd w:val="clear" w:color="auto" w:fill="auto"/>
                  <w:noWrap/>
                  <w:vAlign w:val="bottom"/>
                  <w:hideMark/>
                </w:tcPr>
                <w:p w:rsidR="00131DEF" w:rsidRPr="00CF5B13" w:rsidRDefault="00131DEF" w:rsidP="00131DEF">
                  <w:pPr>
                    <w:spacing w:after="0" w:line="240" w:lineRule="auto"/>
                    <w:rPr>
                      <w:rFonts w:ascii="Times New Roman" w:eastAsia="Times New Roman" w:hAnsi="Times New Roman" w:cs="Times New Roman"/>
                      <w:sz w:val="20"/>
                      <w:szCs w:val="20"/>
                    </w:rPr>
                  </w:pPr>
                </w:p>
                <w:p w:rsidR="00DB7215" w:rsidRPr="00CF5B13" w:rsidRDefault="00DB7215" w:rsidP="00131DEF">
                  <w:pPr>
                    <w:spacing w:after="0" w:line="240" w:lineRule="auto"/>
                    <w:rPr>
                      <w:rFonts w:ascii="Times New Roman" w:eastAsia="Times New Roman" w:hAnsi="Times New Roman" w:cs="Times New Roman"/>
                      <w:sz w:val="20"/>
                      <w:szCs w:val="20"/>
                    </w:rPr>
                  </w:pPr>
                </w:p>
                <w:p w:rsidR="00DB7215" w:rsidRPr="00CF5B13" w:rsidRDefault="00DB7215" w:rsidP="00131DEF">
                  <w:pPr>
                    <w:spacing w:after="0" w:line="240" w:lineRule="auto"/>
                    <w:rPr>
                      <w:rFonts w:ascii="Times New Roman" w:eastAsia="Times New Roman" w:hAnsi="Times New Roman" w:cs="Times New Roman"/>
                      <w:sz w:val="20"/>
                      <w:szCs w:val="20"/>
                    </w:rPr>
                  </w:pPr>
                </w:p>
                <w:p w:rsidR="00DB7215" w:rsidRPr="00CF5B13" w:rsidRDefault="00DB7215" w:rsidP="00131DEF">
                  <w:pPr>
                    <w:spacing w:after="0" w:line="240" w:lineRule="auto"/>
                    <w:rPr>
                      <w:rFonts w:ascii="Times New Roman" w:eastAsia="Times New Roman" w:hAnsi="Times New Roman" w:cs="Times New Roman"/>
                      <w:sz w:val="20"/>
                      <w:szCs w:val="20"/>
                    </w:rPr>
                  </w:pPr>
                </w:p>
                <w:p w:rsidR="00DB7215" w:rsidRPr="00CF5B13" w:rsidRDefault="00DB7215" w:rsidP="00131DEF">
                  <w:pPr>
                    <w:spacing w:after="0" w:line="240" w:lineRule="auto"/>
                    <w:rPr>
                      <w:rFonts w:ascii="Times New Roman" w:eastAsia="Times New Roman" w:hAnsi="Times New Roman" w:cs="Times New Roman"/>
                      <w:sz w:val="20"/>
                      <w:szCs w:val="20"/>
                    </w:rPr>
                  </w:pPr>
                </w:p>
                <w:p w:rsidR="00DB7215" w:rsidRPr="00CF5B13" w:rsidRDefault="00DB7215" w:rsidP="00131DEF">
                  <w:pPr>
                    <w:spacing w:after="0" w:line="240" w:lineRule="auto"/>
                    <w:rPr>
                      <w:rFonts w:ascii="Times New Roman" w:eastAsia="Times New Roman" w:hAnsi="Times New Roman" w:cs="Times New Roman"/>
                      <w:sz w:val="20"/>
                      <w:szCs w:val="20"/>
                    </w:rPr>
                  </w:pPr>
                </w:p>
                <w:p w:rsidR="00DB7215" w:rsidRPr="00CF5B13" w:rsidRDefault="00DB7215" w:rsidP="00131DEF">
                  <w:pPr>
                    <w:spacing w:after="0" w:line="240" w:lineRule="auto"/>
                    <w:rPr>
                      <w:rFonts w:ascii="Times New Roman" w:eastAsia="Times New Roman" w:hAnsi="Times New Roman" w:cs="Times New Roman"/>
                      <w:sz w:val="20"/>
                      <w:szCs w:val="20"/>
                    </w:rPr>
                  </w:pPr>
                </w:p>
              </w:tc>
              <w:tc>
                <w:tcPr>
                  <w:tcW w:w="1276" w:type="dxa"/>
                  <w:gridSpan w:val="2"/>
                  <w:tcBorders>
                    <w:top w:val="nil"/>
                    <w:left w:val="nil"/>
                    <w:bottom w:val="nil"/>
                    <w:right w:val="nil"/>
                  </w:tcBorders>
                  <w:shd w:val="clear" w:color="auto" w:fill="auto"/>
                  <w:noWrap/>
                  <w:vAlign w:val="bottom"/>
                  <w:hideMark/>
                </w:tcPr>
                <w:p w:rsidR="00131DEF" w:rsidRPr="00CF5B13" w:rsidRDefault="00131DEF" w:rsidP="00131DEF">
                  <w:pPr>
                    <w:spacing w:after="0" w:line="240" w:lineRule="auto"/>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noWrap/>
                  <w:vAlign w:val="bottom"/>
                </w:tcPr>
                <w:p w:rsidR="00131DEF" w:rsidRPr="00CF5B13" w:rsidRDefault="00131DEF" w:rsidP="00131DEF">
                  <w:pPr>
                    <w:spacing w:after="0" w:line="240" w:lineRule="auto"/>
                    <w:rPr>
                      <w:rFonts w:ascii="Times New Roman" w:eastAsia="Times New Roman" w:hAnsi="Times New Roman" w:cs="Times New Roman"/>
                      <w:sz w:val="20"/>
                      <w:szCs w:val="20"/>
                    </w:rPr>
                  </w:pPr>
                </w:p>
              </w:tc>
              <w:tc>
                <w:tcPr>
                  <w:tcW w:w="1843" w:type="dxa"/>
                  <w:tcBorders>
                    <w:top w:val="nil"/>
                    <w:left w:val="nil"/>
                    <w:bottom w:val="nil"/>
                    <w:right w:val="nil"/>
                  </w:tcBorders>
                  <w:shd w:val="clear" w:color="auto" w:fill="auto"/>
                  <w:noWrap/>
                  <w:vAlign w:val="bottom"/>
                </w:tcPr>
                <w:p w:rsidR="00131DEF" w:rsidRPr="00CF5B13" w:rsidRDefault="00131DEF" w:rsidP="00131DEF">
                  <w:pPr>
                    <w:spacing w:after="0" w:line="240" w:lineRule="auto"/>
                    <w:rPr>
                      <w:rFonts w:ascii="Times New Roman" w:eastAsia="Times New Roman" w:hAnsi="Times New Roman" w:cs="Times New Roman"/>
                      <w:sz w:val="20"/>
                      <w:szCs w:val="20"/>
                    </w:rPr>
                  </w:pPr>
                </w:p>
              </w:tc>
            </w:tr>
            <w:tr w:rsidR="00131DEF" w:rsidRPr="00CF5B13" w:rsidTr="00131DEF">
              <w:trPr>
                <w:cantSplit/>
                <w:trHeight w:hRule="exact" w:val="23"/>
              </w:trPr>
              <w:tc>
                <w:tcPr>
                  <w:tcW w:w="1266" w:type="dxa"/>
                  <w:tcBorders>
                    <w:top w:val="nil"/>
                    <w:left w:val="nil"/>
                    <w:bottom w:val="nil"/>
                    <w:right w:val="nil"/>
                  </w:tcBorders>
                  <w:shd w:val="clear" w:color="auto" w:fill="auto"/>
                  <w:noWrap/>
                  <w:vAlign w:val="bottom"/>
                </w:tcPr>
                <w:p w:rsidR="00131DEF" w:rsidRPr="00CF5B13" w:rsidRDefault="00131DEF" w:rsidP="00131DEF">
                  <w:pPr>
                    <w:spacing w:after="0" w:line="240" w:lineRule="auto"/>
                    <w:rPr>
                      <w:rFonts w:ascii="Times New Roman" w:eastAsia="Times New Roman" w:hAnsi="Times New Roman" w:cs="Times New Roman"/>
                      <w:color w:val="000000"/>
                      <w:sz w:val="20"/>
                      <w:szCs w:val="20"/>
                    </w:rPr>
                  </w:pPr>
                </w:p>
                <w:p w:rsidR="00131DEF" w:rsidRPr="00CF5B13" w:rsidRDefault="00131DEF" w:rsidP="00131DEF">
                  <w:pPr>
                    <w:spacing w:after="0" w:line="240" w:lineRule="auto"/>
                    <w:rPr>
                      <w:rFonts w:ascii="Times New Roman" w:eastAsia="Times New Roman" w:hAnsi="Times New Roman" w:cs="Times New Roman"/>
                      <w:color w:val="000000"/>
                      <w:sz w:val="20"/>
                      <w:szCs w:val="20"/>
                    </w:rPr>
                  </w:pPr>
                </w:p>
              </w:tc>
              <w:tc>
                <w:tcPr>
                  <w:tcW w:w="1418" w:type="dxa"/>
                  <w:tcBorders>
                    <w:top w:val="nil"/>
                    <w:left w:val="nil"/>
                    <w:bottom w:val="nil"/>
                    <w:right w:val="nil"/>
                  </w:tcBorders>
                  <w:shd w:val="clear" w:color="auto" w:fill="auto"/>
                  <w:noWrap/>
                  <w:vAlign w:val="bottom"/>
                </w:tcPr>
                <w:p w:rsidR="00131DEF" w:rsidRPr="00CF5B13" w:rsidRDefault="00131DEF" w:rsidP="00131DEF">
                  <w:pPr>
                    <w:spacing w:after="0" w:line="240" w:lineRule="auto"/>
                    <w:rPr>
                      <w:rFonts w:ascii="Times New Roman" w:eastAsia="Times New Roman" w:hAnsi="Times New Roman" w:cs="Times New Roman"/>
                      <w:sz w:val="20"/>
                      <w:szCs w:val="20"/>
                    </w:rPr>
                  </w:pPr>
                </w:p>
                <w:p w:rsidR="00131DEF" w:rsidRPr="00CF5B13" w:rsidRDefault="00131DEF" w:rsidP="00131DEF">
                  <w:pPr>
                    <w:spacing w:after="0" w:line="240" w:lineRule="auto"/>
                    <w:rPr>
                      <w:rFonts w:ascii="Times New Roman" w:eastAsia="Times New Roman" w:hAnsi="Times New Roman" w:cs="Times New Roman"/>
                      <w:sz w:val="20"/>
                      <w:szCs w:val="20"/>
                    </w:rPr>
                  </w:pPr>
                </w:p>
                <w:p w:rsidR="00131DEF" w:rsidRPr="00CF5B13" w:rsidRDefault="00131DEF" w:rsidP="00131DEF">
                  <w:pPr>
                    <w:spacing w:after="0" w:line="240" w:lineRule="auto"/>
                    <w:rPr>
                      <w:rFonts w:ascii="Times New Roman" w:eastAsia="Times New Roman" w:hAnsi="Times New Roman" w:cs="Times New Roman"/>
                      <w:sz w:val="20"/>
                      <w:szCs w:val="20"/>
                    </w:rPr>
                  </w:pPr>
                </w:p>
                <w:p w:rsidR="00131DEF" w:rsidRPr="00CF5B13" w:rsidRDefault="00131DEF" w:rsidP="00131DEF">
                  <w:pPr>
                    <w:spacing w:after="0" w:line="240" w:lineRule="auto"/>
                    <w:rPr>
                      <w:rFonts w:ascii="Times New Roman" w:eastAsia="Times New Roman" w:hAnsi="Times New Roman" w:cs="Times New Roman"/>
                      <w:sz w:val="20"/>
                      <w:szCs w:val="20"/>
                    </w:rPr>
                  </w:pPr>
                </w:p>
                <w:p w:rsidR="00131DEF" w:rsidRPr="00CF5B13" w:rsidRDefault="00131DEF" w:rsidP="00131DEF">
                  <w:pPr>
                    <w:spacing w:after="0" w:line="240" w:lineRule="auto"/>
                    <w:rPr>
                      <w:rFonts w:ascii="Times New Roman" w:eastAsia="Times New Roman" w:hAnsi="Times New Roman" w:cs="Times New Roman"/>
                      <w:sz w:val="20"/>
                      <w:szCs w:val="20"/>
                    </w:rPr>
                  </w:pPr>
                </w:p>
                <w:p w:rsidR="00131DEF" w:rsidRPr="00CF5B13" w:rsidRDefault="00131DEF" w:rsidP="00131DEF">
                  <w:pPr>
                    <w:spacing w:after="0" w:line="240" w:lineRule="auto"/>
                    <w:rPr>
                      <w:rFonts w:ascii="Times New Roman" w:eastAsia="Times New Roman" w:hAnsi="Times New Roman" w:cs="Times New Roman"/>
                      <w:sz w:val="20"/>
                      <w:szCs w:val="20"/>
                    </w:rPr>
                  </w:pPr>
                </w:p>
                <w:p w:rsidR="00131DEF" w:rsidRPr="00CF5B13" w:rsidRDefault="00131DEF" w:rsidP="00131DEF">
                  <w:pPr>
                    <w:spacing w:after="0" w:line="240" w:lineRule="auto"/>
                    <w:rPr>
                      <w:rFonts w:ascii="Times New Roman" w:eastAsia="Times New Roman" w:hAnsi="Times New Roman" w:cs="Times New Roman"/>
                      <w:sz w:val="20"/>
                      <w:szCs w:val="20"/>
                    </w:rPr>
                  </w:pPr>
                </w:p>
                <w:p w:rsidR="00131DEF" w:rsidRPr="00CF5B13" w:rsidRDefault="00131DEF" w:rsidP="00131DEF">
                  <w:pPr>
                    <w:spacing w:after="0" w:line="240" w:lineRule="auto"/>
                    <w:rPr>
                      <w:rFonts w:ascii="Times New Roman" w:eastAsia="Times New Roman" w:hAnsi="Times New Roman" w:cs="Times New Roman"/>
                      <w:sz w:val="20"/>
                      <w:szCs w:val="20"/>
                    </w:rPr>
                  </w:pPr>
                </w:p>
                <w:p w:rsidR="00131DEF" w:rsidRPr="00CF5B13" w:rsidRDefault="00131DEF" w:rsidP="00131DEF">
                  <w:pPr>
                    <w:spacing w:after="0" w:line="240" w:lineRule="auto"/>
                    <w:rPr>
                      <w:rFonts w:ascii="Times New Roman" w:eastAsia="Times New Roman" w:hAnsi="Times New Roman" w:cs="Times New Roman"/>
                      <w:sz w:val="20"/>
                      <w:szCs w:val="20"/>
                    </w:rPr>
                  </w:pPr>
                </w:p>
                <w:p w:rsidR="00131DEF" w:rsidRPr="00CF5B13" w:rsidRDefault="00131DEF" w:rsidP="00131DEF">
                  <w:pPr>
                    <w:spacing w:after="0" w:line="240" w:lineRule="auto"/>
                    <w:rPr>
                      <w:rFonts w:ascii="Times New Roman" w:eastAsia="Times New Roman" w:hAnsi="Times New Roman" w:cs="Times New Roman"/>
                      <w:sz w:val="20"/>
                      <w:szCs w:val="20"/>
                    </w:rPr>
                  </w:pPr>
                </w:p>
                <w:p w:rsidR="00131DEF" w:rsidRPr="00CF5B13" w:rsidRDefault="00131DEF" w:rsidP="00131DEF">
                  <w:pPr>
                    <w:spacing w:after="0" w:line="240" w:lineRule="auto"/>
                    <w:rPr>
                      <w:rFonts w:ascii="Times New Roman" w:eastAsia="Times New Roman" w:hAnsi="Times New Roman" w:cs="Times New Roman"/>
                      <w:sz w:val="20"/>
                      <w:szCs w:val="20"/>
                    </w:rPr>
                  </w:pPr>
                </w:p>
                <w:p w:rsidR="00131DEF" w:rsidRPr="00CF5B13" w:rsidRDefault="00131DEF" w:rsidP="00131DEF">
                  <w:pPr>
                    <w:spacing w:after="0" w:line="240" w:lineRule="auto"/>
                    <w:rPr>
                      <w:rFonts w:ascii="Times New Roman" w:eastAsia="Times New Roman" w:hAnsi="Times New Roman" w:cs="Times New Roman"/>
                      <w:sz w:val="20"/>
                      <w:szCs w:val="20"/>
                    </w:rPr>
                  </w:pPr>
                </w:p>
                <w:p w:rsidR="00131DEF" w:rsidRPr="00CF5B13" w:rsidRDefault="00131DEF" w:rsidP="00131DEF">
                  <w:pPr>
                    <w:spacing w:after="0" w:line="240" w:lineRule="auto"/>
                    <w:rPr>
                      <w:rFonts w:ascii="Times New Roman" w:eastAsia="Times New Roman" w:hAnsi="Times New Roman" w:cs="Times New Roman"/>
                      <w:sz w:val="20"/>
                      <w:szCs w:val="20"/>
                    </w:rPr>
                  </w:pPr>
                </w:p>
                <w:p w:rsidR="00131DEF" w:rsidRPr="00CF5B13" w:rsidRDefault="00131DEF" w:rsidP="00131DEF">
                  <w:pPr>
                    <w:spacing w:after="0" w:line="240" w:lineRule="auto"/>
                    <w:rPr>
                      <w:rFonts w:ascii="Times New Roman" w:eastAsia="Times New Roman" w:hAnsi="Times New Roman" w:cs="Times New Roman"/>
                      <w:sz w:val="20"/>
                      <w:szCs w:val="20"/>
                    </w:rPr>
                  </w:pPr>
                </w:p>
              </w:tc>
              <w:tc>
                <w:tcPr>
                  <w:tcW w:w="1275" w:type="dxa"/>
                  <w:tcBorders>
                    <w:top w:val="nil"/>
                    <w:left w:val="nil"/>
                    <w:bottom w:val="nil"/>
                    <w:right w:val="nil"/>
                  </w:tcBorders>
                  <w:shd w:val="clear" w:color="auto" w:fill="auto"/>
                  <w:noWrap/>
                  <w:vAlign w:val="bottom"/>
                </w:tcPr>
                <w:p w:rsidR="00131DEF" w:rsidRPr="00CF5B13" w:rsidRDefault="00131DEF" w:rsidP="00131DEF">
                  <w:pPr>
                    <w:spacing w:after="0" w:line="240" w:lineRule="auto"/>
                    <w:rPr>
                      <w:rFonts w:ascii="Times New Roman" w:eastAsia="Times New Roman" w:hAnsi="Times New Roman" w:cs="Times New Roman"/>
                      <w:sz w:val="20"/>
                      <w:szCs w:val="20"/>
                    </w:rPr>
                  </w:pPr>
                </w:p>
              </w:tc>
              <w:tc>
                <w:tcPr>
                  <w:tcW w:w="1276" w:type="dxa"/>
                  <w:gridSpan w:val="2"/>
                  <w:tcBorders>
                    <w:top w:val="nil"/>
                    <w:left w:val="nil"/>
                    <w:bottom w:val="nil"/>
                    <w:right w:val="nil"/>
                  </w:tcBorders>
                  <w:shd w:val="clear" w:color="auto" w:fill="auto"/>
                  <w:noWrap/>
                  <w:vAlign w:val="bottom"/>
                </w:tcPr>
                <w:p w:rsidR="00131DEF" w:rsidRPr="00CF5B13" w:rsidRDefault="00131DEF" w:rsidP="00131DEF">
                  <w:pPr>
                    <w:spacing w:after="0" w:line="240" w:lineRule="auto"/>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noWrap/>
                  <w:vAlign w:val="bottom"/>
                </w:tcPr>
                <w:p w:rsidR="00131DEF" w:rsidRPr="00CF5B13" w:rsidRDefault="00131DEF" w:rsidP="00131DEF">
                  <w:pPr>
                    <w:spacing w:after="0" w:line="240" w:lineRule="auto"/>
                    <w:rPr>
                      <w:rFonts w:ascii="Times New Roman" w:eastAsia="Times New Roman" w:hAnsi="Times New Roman" w:cs="Times New Roman"/>
                      <w:sz w:val="20"/>
                      <w:szCs w:val="20"/>
                    </w:rPr>
                  </w:pPr>
                </w:p>
              </w:tc>
              <w:tc>
                <w:tcPr>
                  <w:tcW w:w="1843" w:type="dxa"/>
                  <w:tcBorders>
                    <w:top w:val="nil"/>
                    <w:left w:val="nil"/>
                    <w:bottom w:val="nil"/>
                    <w:right w:val="nil"/>
                  </w:tcBorders>
                  <w:shd w:val="clear" w:color="auto" w:fill="auto"/>
                  <w:noWrap/>
                  <w:vAlign w:val="bottom"/>
                </w:tcPr>
                <w:p w:rsidR="00131DEF" w:rsidRPr="00CF5B13" w:rsidRDefault="00131DEF" w:rsidP="00131DEF">
                  <w:pPr>
                    <w:spacing w:after="0" w:line="240" w:lineRule="auto"/>
                    <w:rPr>
                      <w:rFonts w:ascii="Times New Roman" w:eastAsia="Times New Roman" w:hAnsi="Times New Roman" w:cs="Times New Roman"/>
                      <w:sz w:val="20"/>
                      <w:szCs w:val="20"/>
                    </w:rPr>
                  </w:pPr>
                </w:p>
              </w:tc>
            </w:tr>
            <w:tr w:rsidR="00131DEF" w:rsidRPr="00CF5B13" w:rsidTr="00F34662">
              <w:trPr>
                <w:trHeight w:val="330"/>
              </w:trPr>
              <w:tc>
                <w:tcPr>
                  <w:tcW w:w="8354" w:type="dxa"/>
                  <w:gridSpan w:val="7"/>
                  <w:tcBorders>
                    <w:top w:val="single" w:sz="8" w:space="0" w:color="auto"/>
                    <w:left w:val="single" w:sz="8" w:space="0" w:color="auto"/>
                    <w:bottom w:val="single" w:sz="8" w:space="0" w:color="auto"/>
                    <w:right w:val="single" w:sz="8" w:space="0" w:color="000000"/>
                  </w:tcBorders>
                  <w:vAlign w:val="center"/>
                  <w:hideMark/>
                </w:tcPr>
                <w:p w:rsidR="00131DEF" w:rsidRPr="00CF5B13" w:rsidRDefault="00131DEF" w:rsidP="00131DEF">
                  <w:pPr>
                    <w:spacing w:after="0" w:line="240" w:lineRule="auto"/>
                    <w:rPr>
                      <w:rFonts w:ascii="Times New Roman" w:eastAsia="Times New Roman" w:hAnsi="Times New Roman" w:cs="Times New Roman"/>
                      <w:b/>
                      <w:bCs/>
                      <w:color w:val="000000"/>
                      <w:lang w:val="cs-CZ"/>
                    </w:rPr>
                  </w:pPr>
                  <w:r w:rsidRPr="00CF5B13">
                    <w:rPr>
                      <w:rFonts w:ascii="Times New Roman" w:eastAsia="Times New Roman" w:hAnsi="Times New Roman" w:cs="Times New Roman"/>
                      <w:b/>
                      <w:bCs/>
                      <w:color w:val="000000"/>
                      <w:lang w:val="cs-CZ"/>
                    </w:rPr>
                    <w:t>Střední vzdělávání s maturitní zkouškou (VPŠ a SPŠ MV v Praze)</w:t>
                  </w:r>
                </w:p>
              </w:tc>
            </w:tr>
            <w:tr w:rsidR="00131DEF" w:rsidRPr="00CF5B13" w:rsidTr="00F34662">
              <w:trPr>
                <w:trHeight w:val="315"/>
              </w:trPr>
              <w:tc>
                <w:tcPr>
                  <w:tcW w:w="8354" w:type="dxa"/>
                  <w:gridSpan w:val="7"/>
                  <w:tcBorders>
                    <w:top w:val="single" w:sz="8" w:space="0" w:color="auto"/>
                    <w:left w:val="single" w:sz="8" w:space="0" w:color="auto"/>
                    <w:bottom w:val="single" w:sz="8" w:space="0" w:color="auto"/>
                    <w:right w:val="single" w:sz="8" w:space="0" w:color="000000"/>
                  </w:tcBorders>
                  <w:vAlign w:val="center"/>
                  <w:hideMark/>
                </w:tcPr>
                <w:p w:rsidR="00131DEF" w:rsidRPr="00CF5B13" w:rsidRDefault="00131DEF" w:rsidP="00131DEF">
                  <w:pPr>
                    <w:spacing w:after="0" w:line="240" w:lineRule="auto"/>
                    <w:rPr>
                      <w:rFonts w:ascii="Times New Roman" w:eastAsia="Times New Roman" w:hAnsi="Times New Roman" w:cs="Times New Roman"/>
                      <w:color w:val="000000"/>
                    </w:rPr>
                  </w:pPr>
                  <w:r w:rsidRPr="00CF5B13">
                    <w:rPr>
                      <w:rFonts w:ascii="Times New Roman" w:eastAsia="Times New Roman" w:hAnsi="Times New Roman" w:cs="Times New Roman"/>
                      <w:color w:val="000000"/>
                    </w:rPr>
                    <w:t>Školní rok 2022/2023</w:t>
                  </w:r>
                </w:p>
              </w:tc>
            </w:tr>
            <w:tr w:rsidR="00131DEF" w:rsidRPr="00CF5B13" w:rsidTr="00F34662">
              <w:trPr>
                <w:trHeight w:val="955"/>
              </w:trPr>
              <w:tc>
                <w:tcPr>
                  <w:tcW w:w="2684" w:type="dxa"/>
                  <w:gridSpan w:val="2"/>
                  <w:tcBorders>
                    <w:top w:val="single" w:sz="8" w:space="0" w:color="auto"/>
                    <w:left w:val="single" w:sz="8" w:space="0" w:color="auto"/>
                    <w:bottom w:val="single" w:sz="8" w:space="0" w:color="000000"/>
                    <w:right w:val="single" w:sz="8" w:space="0" w:color="000000"/>
                  </w:tcBorders>
                  <w:vAlign w:val="center"/>
                  <w:hideMark/>
                </w:tcPr>
                <w:p w:rsidR="00131DEF" w:rsidRPr="00CF5B13" w:rsidRDefault="00131DEF" w:rsidP="00131DEF">
                  <w:pPr>
                    <w:spacing w:after="0" w:line="240" w:lineRule="auto"/>
                    <w:rPr>
                      <w:rFonts w:ascii="Times New Roman" w:eastAsia="Times New Roman" w:hAnsi="Times New Roman" w:cs="Times New Roman"/>
                      <w:b/>
                      <w:color w:val="000000"/>
                    </w:rPr>
                  </w:pPr>
                  <w:r w:rsidRPr="00CF5B13">
                    <w:rPr>
                      <w:rFonts w:ascii="Times New Roman" w:eastAsia="Times New Roman" w:hAnsi="Times New Roman" w:cs="Times New Roman"/>
                      <w:b/>
                      <w:color w:val="000000"/>
                    </w:rPr>
                    <w:t>účast při přijímacím řízení</w:t>
                  </w:r>
                </w:p>
                <w:p w:rsidR="00131DEF" w:rsidRPr="00CF5B13" w:rsidRDefault="00131DEF" w:rsidP="00131DEF">
                  <w:pPr>
                    <w:spacing w:after="0" w:line="240" w:lineRule="auto"/>
                    <w:rPr>
                      <w:rFonts w:ascii="Times New Roman" w:eastAsia="Times New Roman" w:hAnsi="Times New Roman" w:cs="Times New Roman"/>
                      <w:color w:val="000000"/>
                    </w:rPr>
                  </w:pPr>
                  <w:r w:rsidRPr="00CF5B13">
                    <w:rPr>
                      <w:rFonts w:ascii="Times New Roman" w:eastAsia="Times New Roman" w:hAnsi="Times New Roman" w:cs="Times New Roman"/>
                      <w:color w:val="000000"/>
                    </w:rPr>
                    <w:t xml:space="preserve">   (pro šk. rok 2022/2023)</w:t>
                  </w:r>
                </w:p>
              </w:tc>
              <w:tc>
                <w:tcPr>
                  <w:tcW w:w="2409" w:type="dxa"/>
                  <w:gridSpan w:val="2"/>
                  <w:tcBorders>
                    <w:top w:val="single" w:sz="8" w:space="0" w:color="auto"/>
                    <w:left w:val="single" w:sz="8" w:space="0" w:color="auto"/>
                    <w:bottom w:val="single" w:sz="8" w:space="0" w:color="000000"/>
                    <w:right w:val="single" w:sz="8" w:space="0" w:color="000000"/>
                  </w:tcBorders>
                  <w:vAlign w:val="center"/>
                  <w:hideMark/>
                </w:tcPr>
                <w:p w:rsidR="00131DEF" w:rsidRPr="00CF5B13" w:rsidRDefault="00131DEF" w:rsidP="00131DEF">
                  <w:pPr>
                    <w:spacing w:after="0" w:line="240" w:lineRule="auto"/>
                    <w:rPr>
                      <w:rFonts w:ascii="Times New Roman" w:eastAsia="Times New Roman" w:hAnsi="Times New Roman" w:cs="Times New Roman"/>
                      <w:b/>
                      <w:color w:val="000000"/>
                    </w:rPr>
                  </w:pPr>
                  <w:r w:rsidRPr="00CF5B13">
                    <w:rPr>
                      <w:rFonts w:ascii="Times New Roman" w:eastAsia="Times New Roman" w:hAnsi="Times New Roman" w:cs="Times New Roman"/>
                      <w:b/>
                      <w:color w:val="000000"/>
                    </w:rPr>
                    <w:t xml:space="preserve">               přijato</w:t>
                  </w:r>
                </w:p>
              </w:tc>
              <w:tc>
                <w:tcPr>
                  <w:tcW w:w="3261" w:type="dxa"/>
                  <w:gridSpan w:val="3"/>
                  <w:tcBorders>
                    <w:top w:val="nil"/>
                    <w:left w:val="nil"/>
                    <w:bottom w:val="single" w:sz="4" w:space="0" w:color="auto"/>
                    <w:right w:val="single" w:sz="8" w:space="0" w:color="auto"/>
                  </w:tcBorders>
                  <w:vAlign w:val="center"/>
                </w:tcPr>
                <w:p w:rsidR="00131DEF" w:rsidRPr="00CF5B13" w:rsidRDefault="00131DEF" w:rsidP="00131DEF">
                  <w:pPr>
                    <w:spacing w:after="0" w:line="240" w:lineRule="auto"/>
                    <w:rPr>
                      <w:rFonts w:ascii="Times New Roman" w:eastAsia="Times New Roman" w:hAnsi="Times New Roman" w:cs="Times New Roman"/>
                      <w:color w:val="000000"/>
                    </w:rPr>
                  </w:pPr>
                  <w:r w:rsidRPr="00CF5B13">
                    <w:rPr>
                      <w:rFonts w:ascii="Times New Roman" w:eastAsia="Times New Roman" w:hAnsi="Times New Roman" w:cs="Times New Roman"/>
                      <w:color w:val="000000"/>
                    </w:rPr>
                    <w:t> </w:t>
                  </w:r>
                </w:p>
                <w:p w:rsidR="00131DEF" w:rsidRPr="00CF5B13" w:rsidRDefault="00131DEF" w:rsidP="00131DEF">
                  <w:pPr>
                    <w:spacing w:after="0" w:line="240" w:lineRule="auto"/>
                    <w:rPr>
                      <w:rFonts w:ascii="Times New Roman" w:eastAsia="Times New Roman" w:hAnsi="Times New Roman" w:cs="Times New Roman"/>
                      <w:color w:val="000000"/>
                    </w:rPr>
                  </w:pPr>
                  <w:r w:rsidRPr="00CF5B13">
                    <w:rPr>
                      <w:rFonts w:ascii="Times New Roman" w:eastAsia="Times New Roman" w:hAnsi="Times New Roman" w:cs="Times New Roman"/>
                      <w:color w:val="000000"/>
                    </w:rPr>
                    <w:t xml:space="preserve">                  </w:t>
                  </w:r>
                </w:p>
                <w:p w:rsidR="00131DEF" w:rsidRPr="00CF5B13" w:rsidRDefault="00131DEF" w:rsidP="00131DEF">
                  <w:pPr>
                    <w:spacing w:after="0" w:line="240" w:lineRule="auto"/>
                    <w:rPr>
                      <w:rFonts w:ascii="Times New Roman" w:eastAsia="Times New Roman" w:hAnsi="Times New Roman" w:cs="Times New Roman"/>
                      <w:b/>
                      <w:color w:val="000000"/>
                    </w:rPr>
                  </w:pPr>
                  <w:r w:rsidRPr="00CF5B13">
                    <w:rPr>
                      <w:rFonts w:ascii="Times New Roman" w:eastAsia="Times New Roman" w:hAnsi="Times New Roman" w:cs="Times New Roman"/>
                      <w:b/>
                      <w:color w:val="000000"/>
                    </w:rPr>
                    <w:t xml:space="preserve">                   celkem žáci </w:t>
                  </w:r>
                </w:p>
                <w:p w:rsidR="00131DEF" w:rsidRPr="00CF5B13" w:rsidRDefault="00131DEF" w:rsidP="00131DEF">
                  <w:pPr>
                    <w:spacing w:after="0" w:line="240" w:lineRule="auto"/>
                    <w:rPr>
                      <w:rFonts w:ascii="Times New Roman" w:eastAsia="Times New Roman" w:hAnsi="Times New Roman" w:cs="Times New Roman"/>
                      <w:color w:val="000000"/>
                    </w:rPr>
                  </w:pPr>
                </w:p>
                <w:p w:rsidR="00131DEF" w:rsidRPr="00CF5B13" w:rsidRDefault="00131DEF" w:rsidP="00131DEF">
                  <w:pPr>
                    <w:spacing w:after="0" w:line="240" w:lineRule="auto"/>
                    <w:rPr>
                      <w:rFonts w:ascii="Times New Roman" w:eastAsia="Times New Roman" w:hAnsi="Times New Roman" w:cs="Times New Roman"/>
                      <w:color w:val="000000"/>
                    </w:rPr>
                  </w:pPr>
                  <w:r w:rsidRPr="00CF5B13">
                    <w:rPr>
                      <w:rFonts w:ascii="Times New Roman" w:eastAsia="Times New Roman" w:hAnsi="Times New Roman" w:cs="Times New Roman"/>
                      <w:color w:val="000000"/>
                    </w:rPr>
                    <w:t> </w:t>
                  </w:r>
                </w:p>
              </w:tc>
            </w:tr>
            <w:tr w:rsidR="00131DEF" w:rsidRPr="00CF5B13" w:rsidTr="00F34662">
              <w:trPr>
                <w:trHeight w:val="315"/>
              </w:trPr>
              <w:tc>
                <w:tcPr>
                  <w:tcW w:w="1266" w:type="dxa"/>
                  <w:tcBorders>
                    <w:top w:val="nil"/>
                    <w:left w:val="single" w:sz="8" w:space="0" w:color="auto"/>
                    <w:bottom w:val="single" w:sz="4" w:space="0" w:color="auto"/>
                    <w:right w:val="single" w:sz="8" w:space="0" w:color="auto"/>
                  </w:tcBorders>
                  <w:vAlign w:val="center"/>
                  <w:hideMark/>
                </w:tcPr>
                <w:p w:rsidR="00131DEF" w:rsidRPr="00CF5B13" w:rsidRDefault="00131DEF" w:rsidP="00131DEF">
                  <w:pPr>
                    <w:spacing w:after="0" w:line="240" w:lineRule="auto"/>
                    <w:jc w:val="center"/>
                    <w:rPr>
                      <w:rFonts w:ascii="Times New Roman" w:eastAsia="Times New Roman" w:hAnsi="Times New Roman" w:cs="Times New Roman"/>
                      <w:color w:val="000000"/>
                    </w:rPr>
                  </w:pPr>
                  <w:r w:rsidRPr="00CF5B13">
                    <w:rPr>
                      <w:rFonts w:ascii="Times New Roman" w:eastAsia="Times New Roman" w:hAnsi="Times New Roman" w:cs="Times New Roman"/>
                      <w:color w:val="000000"/>
                    </w:rPr>
                    <w:t>chlapci</w:t>
                  </w:r>
                </w:p>
              </w:tc>
              <w:tc>
                <w:tcPr>
                  <w:tcW w:w="1418" w:type="dxa"/>
                  <w:tcBorders>
                    <w:top w:val="nil"/>
                    <w:left w:val="nil"/>
                    <w:bottom w:val="double" w:sz="6" w:space="0" w:color="auto"/>
                    <w:right w:val="single" w:sz="8" w:space="0" w:color="auto"/>
                  </w:tcBorders>
                  <w:vAlign w:val="center"/>
                  <w:hideMark/>
                </w:tcPr>
                <w:p w:rsidR="00131DEF" w:rsidRPr="00CF5B13" w:rsidRDefault="00131DEF" w:rsidP="00131DEF">
                  <w:pPr>
                    <w:spacing w:after="0" w:line="240" w:lineRule="auto"/>
                    <w:jc w:val="center"/>
                    <w:rPr>
                      <w:rFonts w:ascii="Times New Roman" w:eastAsia="Times New Roman" w:hAnsi="Times New Roman" w:cs="Times New Roman"/>
                      <w:color w:val="000000"/>
                    </w:rPr>
                  </w:pPr>
                  <w:r w:rsidRPr="00CF5B13">
                    <w:rPr>
                      <w:rFonts w:ascii="Times New Roman" w:eastAsia="Times New Roman" w:hAnsi="Times New Roman" w:cs="Times New Roman"/>
                      <w:color w:val="000000"/>
                    </w:rPr>
                    <w:t>dívky</w:t>
                  </w:r>
                </w:p>
              </w:tc>
              <w:tc>
                <w:tcPr>
                  <w:tcW w:w="1275" w:type="dxa"/>
                  <w:tcBorders>
                    <w:top w:val="nil"/>
                    <w:left w:val="nil"/>
                    <w:bottom w:val="double" w:sz="6" w:space="0" w:color="auto"/>
                    <w:right w:val="single" w:sz="8" w:space="0" w:color="auto"/>
                  </w:tcBorders>
                  <w:vAlign w:val="center"/>
                  <w:hideMark/>
                </w:tcPr>
                <w:p w:rsidR="00131DEF" w:rsidRPr="00CF5B13" w:rsidRDefault="00131DEF" w:rsidP="00131DEF">
                  <w:pPr>
                    <w:spacing w:after="0" w:line="240" w:lineRule="auto"/>
                    <w:jc w:val="center"/>
                    <w:rPr>
                      <w:rFonts w:ascii="Times New Roman" w:eastAsia="Times New Roman" w:hAnsi="Times New Roman" w:cs="Times New Roman"/>
                      <w:color w:val="000000"/>
                    </w:rPr>
                  </w:pPr>
                  <w:r w:rsidRPr="00CF5B13">
                    <w:rPr>
                      <w:rFonts w:ascii="Times New Roman" w:eastAsia="Times New Roman" w:hAnsi="Times New Roman" w:cs="Times New Roman"/>
                      <w:color w:val="000000"/>
                    </w:rPr>
                    <w:t>chlapci</w:t>
                  </w:r>
                </w:p>
              </w:tc>
              <w:tc>
                <w:tcPr>
                  <w:tcW w:w="1134" w:type="dxa"/>
                  <w:tcBorders>
                    <w:top w:val="nil"/>
                    <w:left w:val="nil"/>
                    <w:bottom w:val="double" w:sz="6" w:space="0" w:color="auto"/>
                    <w:right w:val="single" w:sz="4" w:space="0" w:color="auto"/>
                  </w:tcBorders>
                  <w:vAlign w:val="center"/>
                  <w:hideMark/>
                </w:tcPr>
                <w:p w:rsidR="00131DEF" w:rsidRPr="00CF5B13" w:rsidRDefault="00131DEF" w:rsidP="00131DEF">
                  <w:pPr>
                    <w:spacing w:after="0" w:line="240" w:lineRule="auto"/>
                    <w:jc w:val="center"/>
                    <w:rPr>
                      <w:rFonts w:ascii="Times New Roman" w:eastAsia="Times New Roman" w:hAnsi="Times New Roman" w:cs="Times New Roman"/>
                      <w:color w:val="000000"/>
                    </w:rPr>
                  </w:pPr>
                  <w:r w:rsidRPr="00CF5B13">
                    <w:rPr>
                      <w:rFonts w:ascii="Times New Roman" w:eastAsia="Times New Roman" w:hAnsi="Times New Roman" w:cs="Times New Roman"/>
                      <w:color w:val="000000"/>
                    </w:rPr>
                    <w:t>dívky</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131DEF" w:rsidRPr="00CF5B13" w:rsidRDefault="00131DEF" w:rsidP="00131DEF">
                  <w:pPr>
                    <w:spacing w:after="0" w:line="240" w:lineRule="auto"/>
                    <w:jc w:val="center"/>
                    <w:rPr>
                      <w:rFonts w:ascii="Times New Roman" w:eastAsia="Times New Roman" w:hAnsi="Times New Roman" w:cs="Times New Roman"/>
                      <w:color w:val="000000"/>
                    </w:rPr>
                  </w:pPr>
                  <w:r w:rsidRPr="00CF5B13">
                    <w:rPr>
                      <w:rFonts w:ascii="Times New Roman" w:eastAsia="Times New Roman" w:hAnsi="Times New Roman" w:cs="Times New Roman"/>
                      <w:color w:val="000000"/>
                    </w:rPr>
                    <w:t>chlapci</w:t>
                  </w:r>
                </w:p>
              </w:tc>
              <w:tc>
                <w:tcPr>
                  <w:tcW w:w="1843" w:type="dxa"/>
                  <w:tcBorders>
                    <w:top w:val="single" w:sz="4" w:space="0" w:color="auto"/>
                    <w:left w:val="single" w:sz="4" w:space="0" w:color="auto"/>
                    <w:bottom w:val="single" w:sz="4" w:space="0" w:color="auto"/>
                    <w:right w:val="single" w:sz="4" w:space="0" w:color="auto"/>
                  </w:tcBorders>
                  <w:vAlign w:val="center"/>
                  <w:hideMark/>
                </w:tcPr>
                <w:p w:rsidR="00131DEF" w:rsidRPr="00CF5B13" w:rsidRDefault="00131DEF" w:rsidP="00131DEF">
                  <w:pPr>
                    <w:spacing w:after="0" w:line="240" w:lineRule="auto"/>
                    <w:jc w:val="center"/>
                    <w:rPr>
                      <w:rFonts w:ascii="Times New Roman" w:eastAsia="Times New Roman" w:hAnsi="Times New Roman" w:cs="Times New Roman"/>
                      <w:color w:val="000000"/>
                    </w:rPr>
                  </w:pPr>
                  <w:r w:rsidRPr="00CF5B13">
                    <w:rPr>
                      <w:rFonts w:ascii="Times New Roman" w:eastAsia="Times New Roman" w:hAnsi="Times New Roman" w:cs="Times New Roman"/>
                      <w:color w:val="000000"/>
                    </w:rPr>
                    <w:t>dívky</w:t>
                  </w:r>
                </w:p>
              </w:tc>
            </w:tr>
            <w:tr w:rsidR="00131DEF" w:rsidRPr="00CF5B13" w:rsidTr="00F34662">
              <w:trPr>
                <w:trHeight w:val="330"/>
              </w:trPr>
              <w:tc>
                <w:tcPr>
                  <w:tcW w:w="1266" w:type="dxa"/>
                  <w:tcBorders>
                    <w:top w:val="single" w:sz="4" w:space="0" w:color="auto"/>
                    <w:left w:val="single" w:sz="4" w:space="0" w:color="auto"/>
                    <w:bottom w:val="single" w:sz="4" w:space="0" w:color="auto"/>
                    <w:right w:val="single" w:sz="4" w:space="0" w:color="auto"/>
                  </w:tcBorders>
                  <w:vAlign w:val="center"/>
                  <w:hideMark/>
                </w:tcPr>
                <w:p w:rsidR="00131DEF" w:rsidRPr="00CF5B13" w:rsidRDefault="00131DEF" w:rsidP="00131DEF">
                  <w:pPr>
                    <w:spacing w:after="0" w:line="240" w:lineRule="auto"/>
                    <w:jc w:val="center"/>
                    <w:rPr>
                      <w:rFonts w:ascii="Times New Roman" w:eastAsia="Times New Roman" w:hAnsi="Times New Roman" w:cs="Times New Roman"/>
                      <w:color w:val="000000"/>
                    </w:rPr>
                  </w:pPr>
                  <w:r w:rsidRPr="00CF5B13">
                    <w:rPr>
                      <w:rFonts w:ascii="Times New Roman" w:eastAsia="Times New Roman" w:hAnsi="Times New Roman" w:cs="Times New Roman"/>
                      <w:color w:val="000000"/>
                    </w:rPr>
                    <w:t>321</w:t>
                  </w:r>
                </w:p>
              </w:tc>
              <w:tc>
                <w:tcPr>
                  <w:tcW w:w="1418" w:type="dxa"/>
                  <w:tcBorders>
                    <w:top w:val="nil"/>
                    <w:left w:val="single" w:sz="4" w:space="0" w:color="auto"/>
                    <w:bottom w:val="single" w:sz="8" w:space="0" w:color="auto"/>
                    <w:right w:val="single" w:sz="8" w:space="0" w:color="auto"/>
                  </w:tcBorders>
                  <w:vAlign w:val="center"/>
                  <w:hideMark/>
                </w:tcPr>
                <w:p w:rsidR="00131DEF" w:rsidRPr="00CF5B13" w:rsidRDefault="00131DEF" w:rsidP="00131DEF">
                  <w:pPr>
                    <w:spacing w:after="0" w:line="240" w:lineRule="auto"/>
                    <w:jc w:val="center"/>
                    <w:rPr>
                      <w:rFonts w:ascii="Times New Roman" w:eastAsia="Times New Roman" w:hAnsi="Times New Roman" w:cs="Times New Roman"/>
                      <w:color w:val="000000"/>
                    </w:rPr>
                  </w:pPr>
                  <w:r w:rsidRPr="00CF5B13">
                    <w:rPr>
                      <w:rFonts w:ascii="Times New Roman" w:eastAsia="Times New Roman" w:hAnsi="Times New Roman" w:cs="Times New Roman"/>
                      <w:color w:val="000000"/>
                    </w:rPr>
                    <w:t>304</w:t>
                  </w:r>
                </w:p>
              </w:tc>
              <w:tc>
                <w:tcPr>
                  <w:tcW w:w="1275" w:type="dxa"/>
                  <w:tcBorders>
                    <w:top w:val="single" w:sz="4" w:space="0" w:color="auto"/>
                    <w:left w:val="nil"/>
                    <w:bottom w:val="single" w:sz="8" w:space="0" w:color="auto"/>
                    <w:right w:val="single" w:sz="8" w:space="0" w:color="auto"/>
                  </w:tcBorders>
                  <w:vAlign w:val="center"/>
                  <w:hideMark/>
                </w:tcPr>
                <w:p w:rsidR="00131DEF" w:rsidRPr="00CF5B13" w:rsidRDefault="00131DEF" w:rsidP="00131DEF">
                  <w:pPr>
                    <w:spacing w:after="0" w:line="240" w:lineRule="auto"/>
                    <w:jc w:val="center"/>
                    <w:rPr>
                      <w:rFonts w:ascii="Times New Roman" w:eastAsia="Times New Roman" w:hAnsi="Times New Roman" w:cs="Times New Roman"/>
                      <w:color w:val="000000"/>
                    </w:rPr>
                  </w:pPr>
                  <w:r w:rsidRPr="00CF5B13">
                    <w:rPr>
                      <w:rFonts w:ascii="Times New Roman" w:eastAsia="Times New Roman" w:hAnsi="Times New Roman" w:cs="Times New Roman"/>
                      <w:color w:val="000000"/>
                    </w:rPr>
                    <w:t>62</w:t>
                  </w:r>
                </w:p>
              </w:tc>
              <w:tc>
                <w:tcPr>
                  <w:tcW w:w="1134" w:type="dxa"/>
                  <w:tcBorders>
                    <w:top w:val="single" w:sz="4" w:space="0" w:color="auto"/>
                    <w:left w:val="nil"/>
                    <w:bottom w:val="single" w:sz="8" w:space="0" w:color="auto"/>
                    <w:right w:val="single" w:sz="8" w:space="0" w:color="auto"/>
                  </w:tcBorders>
                  <w:vAlign w:val="center"/>
                  <w:hideMark/>
                </w:tcPr>
                <w:p w:rsidR="00131DEF" w:rsidRPr="00CF5B13" w:rsidRDefault="00131DEF" w:rsidP="00131DEF">
                  <w:pPr>
                    <w:spacing w:after="0" w:line="240" w:lineRule="auto"/>
                    <w:jc w:val="center"/>
                    <w:rPr>
                      <w:rFonts w:ascii="Times New Roman" w:eastAsia="Times New Roman" w:hAnsi="Times New Roman" w:cs="Times New Roman"/>
                      <w:color w:val="000000"/>
                    </w:rPr>
                  </w:pPr>
                  <w:r w:rsidRPr="00CF5B13">
                    <w:rPr>
                      <w:rFonts w:ascii="Times New Roman" w:eastAsia="Times New Roman" w:hAnsi="Times New Roman" w:cs="Times New Roman"/>
                      <w:color w:val="000000"/>
                    </w:rPr>
                    <w:t>48</w:t>
                  </w:r>
                </w:p>
              </w:tc>
              <w:tc>
                <w:tcPr>
                  <w:tcW w:w="1418" w:type="dxa"/>
                  <w:gridSpan w:val="2"/>
                  <w:tcBorders>
                    <w:top w:val="single" w:sz="4" w:space="0" w:color="auto"/>
                    <w:left w:val="nil"/>
                    <w:bottom w:val="single" w:sz="8" w:space="0" w:color="auto"/>
                    <w:right w:val="single" w:sz="8" w:space="0" w:color="auto"/>
                  </w:tcBorders>
                  <w:vAlign w:val="center"/>
                  <w:hideMark/>
                </w:tcPr>
                <w:p w:rsidR="00131DEF" w:rsidRPr="00CF5B13" w:rsidRDefault="00131DEF" w:rsidP="00131DEF">
                  <w:pPr>
                    <w:spacing w:after="0" w:line="240" w:lineRule="auto"/>
                    <w:jc w:val="center"/>
                    <w:rPr>
                      <w:rFonts w:ascii="Times New Roman" w:eastAsia="Times New Roman" w:hAnsi="Times New Roman" w:cs="Times New Roman"/>
                      <w:color w:val="000000"/>
                    </w:rPr>
                  </w:pPr>
                  <w:r w:rsidRPr="00CF5B13">
                    <w:rPr>
                      <w:rFonts w:ascii="Times New Roman" w:eastAsia="Times New Roman" w:hAnsi="Times New Roman" w:cs="Times New Roman"/>
                      <w:color w:val="000000"/>
                    </w:rPr>
                    <w:t>271</w:t>
                  </w:r>
                </w:p>
              </w:tc>
              <w:tc>
                <w:tcPr>
                  <w:tcW w:w="1843" w:type="dxa"/>
                  <w:tcBorders>
                    <w:top w:val="single" w:sz="4" w:space="0" w:color="auto"/>
                    <w:left w:val="nil"/>
                    <w:bottom w:val="single" w:sz="8" w:space="0" w:color="auto"/>
                    <w:right w:val="single" w:sz="8" w:space="0" w:color="auto"/>
                  </w:tcBorders>
                  <w:vAlign w:val="center"/>
                  <w:hideMark/>
                </w:tcPr>
                <w:p w:rsidR="00131DEF" w:rsidRPr="00CF5B13" w:rsidRDefault="00131DEF" w:rsidP="00131DEF">
                  <w:pPr>
                    <w:spacing w:after="0" w:line="240" w:lineRule="auto"/>
                    <w:jc w:val="center"/>
                    <w:rPr>
                      <w:rFonts w:ascii="Times New Roman" w:eastAsia="Times New Roman" w:hAnsi="Times New Roman" w:cs="Times New Roman"/>
                      <w:color w:val="000000"/>
                    </w:rPr>
                  </w:pPr>
                  <w:r w:rsidRPr="00CF5B13">
                    <w:rPr>
                      <w:rFonts w:ascii="Times New Roman" w:eastAsia="Times New Roman" w:hAnsi="Times New Roman" w:cs="Times New Roman"/>
                      <w:color w:val="000000"/>
                    </w:rPr>
                    <w:t>217</w:t>
                  </w:r>
                </w:p>
              </w:tc>
            </w:tr>
            <w:tr w:rsidR="00131DEF" w:rsidRPr="00CF5B13" w:rsidTr="00F34662">
              <w:trPr>
                <w:trHeight w:val="330"/>
              </w:trPr>
              <w:tc>
                <w:tcPr>
                  <w:tcW w:w="1266" w:type="dxa"/>
                  <w:tcBorders>
                    <w:top w:val="single" w:sz="4" w:space="0" w:color="auto"/>
                    <w:left w:val="single" w:sz="4" w:space="0" w:color="auto"/>
                    <w:bottom w:val="single" w:sz="4" w:space="0" w:color="auto"/>
                    <w:right w:val="single" w:sz="4" w:space="0" w:color="auto"/>
                  </w:tcBorders>
                  <w:vAlign w:val="center"/>
                </w:tcPr>
                <w:p w:rsidR="00131DEF" w:rsidRPr="00CF5B13" w:rsidRDefault="00131DEF" w:rsidP="00131DEF">
                  <w:pPr>
                    <w:spacing w:after="0" w:line="240" w:lineRule="auto"/>
                    <w:rPr>
                      <w:rFonts w:ascii="Times New Roman" w:eastAsia="Times New Roman" w:hAnsi="Times New Roman" w:cs="Times New Roman"/>
                      <w:color w:val="000000"/>
                    </w:rPr>
                  </w:pPr>
                </w:p>
              </w:tc>
              <w:tc>
                <w:tcPr>
                  <w:tcW w:w="1418" w:type="dxa"/>
                  <w:tcBorders>
                    <w:top w:val="nil"/>
                    <w:left w:val="single" w:sz="4" w:space="0" w:color="auto"/>
                    <w:bottom w:val="single" w:sz="8" w:space="0" w:color="auto"/>
                    <w:right w:val="single" w:sz="8" w:space="0" w:color="auto"/>
                  </w:tcBorders>
                  <w:vAlign w:val="center"/>
                </w:tcPr>
                <w:p w:rsidR="00131DEF" w:rsidRPr="00CF5B13" w:rsidRDefault="00131DEF" w:rsidP="00131DEF">
                  <w:pPr>
                    <w:spacing w:after="0" w:line="240" w:lineRule="auto"/>
                    <w:jc w:val="center"/>
                    <w:rPr>
                      <w:rFonts w:ascii="Times New Roman" w:eastAsia="Times New Roman" w:hAnsi="Times New Roman" w:cs="Times New Roman"/>
                      <w:color w:val="000000"/>
                    </w:rPr>
                  </w:pPr>
                </w:p>
              </w:tc>
              <w:tc>
                <w:tcPr>
                  <w:tcW w:w="1275" w:type="dxa"/>
                  <w:tcBorders>
                    <w:top w:val="single" w:sz="4" w:space="0" w:color="auto"/>
                    <w:left w:val="nil"/>
                    <w:bottom w:val="single" w:sz="8" w:space="0" w:color="auto"/>
                    <w:right w:val="single" w:sz="8" w:space="0" w:color="auto"/>
                  </w:tcBorders>
                  <w:vAlign w:val="center"/>
                </w:tcPr>
                <w:p w:rsidR="00131DEF" w:rsidRPr="00CF5B13" w:rsidRDefault="00131DEF" w:rsidP="00131DEF">
                  <w:pPr>
                    <w:spacing w:after="0" w:line="240" w:lineRule="auto"/>
                    <w:jc w:val="center"/>
                    <w:rPr>
                      <w:rFonts w:ascii="Times New Roman" w:eastAsia="Times New Roman" w:hAnsi="Times New Roman" w:cs="Times New Roman"/>
                      <w:color w:val="000000"/>
                    </w:rPr>
                  </w:pPr>
                  <w:r w:rsidRPr="00CF5B13">
                    <w:rPr>
                      <w:rFonts w:ascii="Times New Roman" w:eastAsia="Times New Roman" w:hAnsi="Times New Roman" w:cs="Times New Roman"/>
                      <w:color w:val="000000"/>
                    </w:rPr>
                    <w:t>56, 4 %</w:t>
                  </w:r>
                </w:p>
              </w:tc>
              <w:tc>
                <w:tcPr>
                  <w:tcW w:w="1134" w:type="dxa"/>
                  <w:tcBorders>
                    <w:top w:val="single" w:sz="4" w:space="0" w:color="auto"/>
                    <w:left w:val="nil"/>
                    <w:bottom w:val="single" w:sz="8" w:space="0" w:color="auto"/>
                    <w:right w:val="single" w:sz="8" w:space="0" w:color="auto"/>
                  </w:tcBorders>
                  <w:vAlign w:val="center"/>
                </w:tcPr>
                <w:p w:rsidR="00131DEF" w:rsidRPr="00CF5B13" w:rsidRDefault="00131DEF" w:rsidP="00131DEF">
                  <w:pPr>
                    <w:spacing w:after="0" w:line="240" w:lineRule="auto"/>
                    <w:jc w:val="center"/>
                    <w:rPr>
                      <w:rFonts w:ascii="Times New Roman" w:eastAsia="Times New Roman" w:hAnsi="Times New Roman" w:cs="Times New Roman"/>
                      <w:color w:val="000000"/>
                    </w:rPr>
                  </w:pPr>
                  <w:r w:rsidRPr="00CF5B13">
                    <w:rPr>
                      <w:rFonts w:ascii="Times New Roman" w:eastAsia="Times New Roman" w:hAnsi="Times New Roman" w:cs="Times New Roman"/>
                      <w:color w:val="000000"/>
                    </w:rPr>
                    <w:t>43, 6 %</w:t>
                  </w:r>
                </w:p>
              </w:tc>
              <w:tc>
                <w:tcPr>
                  <w:tcW w:w="1418" w:type="dxa"/>
                  <w:gridSpan w:val="2"/>
                  <w:tcBorders>
                    <w:top w:val="single" w:sz="4" w:space="0" w:color="auto"/>
                    <w:left w:val="nil"/>
                    <w:bottom w:val="single" w:sz="8" w:space="0" w:color="auto"/>
                    <w:right w:val="single" w:sz="8" w:space="0" w:color="auto"/>
                  </w:tcBorders>
                  <w:vAlign w:val="center"/>
                </w:tcPr>
                <w:p w:rsidR="00131DEF" w:rsidRPr="00CF5B13" w:rsidRDefault="00131DEF" w:rsidP="00131DEF">
                  <w:pPr>
                    <w:spacing w:after="0" w:line="240" w:lineRule="auto"/>
                    <w:jc w:val="center"/>
                    <w:rPr>
                      <w:rFonts w:ascii="Times New Roman" w:eastAsia="Times New Roman" w:hAnsi="Times New Roman" w:cs="Times New Roman"/>
                      <w:color w:val="000000"/>
                    </w:rPr>
                  </w:pPr>
                  <w:r w:rsidRPr="00CF5B13">
                    <w:rPr>
                      <w:rFonts w:ascii="Times New Roman" w:eastAsia="Times New Roman" w:hAnsi="Times New Roman" w:cs="Times New Roman"/>
                      <w:color w:val="000000"/>
                    </w:rPr>
                    <w:t>55, 5 %</w:t>
                  </w:r>
                </w:p>
              </w:tc>
              <w:tc>
                <w:tcPr>
                  <w:tcW w:w="1843" w:type="dxa"/>
                  <w:tcBorders>
                    <w:top w:val="single" w:sz="4" w:space="0" w:color="auto"/>
                    <w:left w:val="nil"/>
                    <w:bottom w:val="single" w:sz="8" w:space="0" w:color="auto"/>
                    <w:right w:val="single" w:sz="8" w:space="0" w:color="auto"/>
                  </w:tcBorders>
                  <w:vAlign w:val="center"/>
                </w:tcPr>
                <w:p w:rsidR="00131DEF" w:rsidRPr="00CF5B13" w:rsidRDefault="00131DEF" w:rsidP="00131DEF">
                  <w:pPr>
                    <w:spacing w:after="0" w:line="240" w:lineRule="auto"/>
                    <w:jc w:val="center"/>
                    <w:rPr>
                      <w:rFonts w:ascii="Times New Roman" w:eastAsia="Times New Roman" w:hAnsi="Times New Roman" w:cs="Times New Roman"/>
                      <w:color w:val="000000"/>
                    </w:rPr>
                  </w:pPr>
                  <w:r w:rsidRPr="00CF5B13">
                    <w:rPr>
                      <w:rFonts w:ascii="Times New Roman" w:eastAsia="Times New Roman" w:hAnsi="Times New Roman" w:cs="Times New Roman"/>
                      <w:color w:val="000000"/>
                    </w:rPr>
                    <w:t>44, 5 %</w:t>
                  </w:r>
                </w:p>
              </w:tc>
            </w:tr>
            <w:tr w:rsidR="00131DEF" w:rsidRPr="00CF5B13" w:rsidTr="009C7831">
              <w:trPr>
                <w:cantSplit/>
                <w:trHeight w:hRule="exact" w:val="567"/>
              </w:trPr>
              <w:tc>
                <w:tcPr>
                  <w:tcW w:w="1266" w:type="dxa"/>
                  <w:tcBorders>
                    <w:top w:val="nil"/>
                    <w:left w:val="nil"/>
                    <w:bottom w:val="nil"/>
                    <w:right w:val="nil"/>
                  </w:tcBorders>
                  <w:shd w:val="clear" w:color="auto" w:fill="auto"/>
                  <w:noWrap/>
                  <w:vAlign w:val="bottom"/>
                </w:tcPr>
                <w:p w:rsidR="00131DEF" w:rsidRPr="00CF5B13" w:rsidRDefault="00131DEF" w:rsidP="00131DEF">
                  <w:pPr>
                    <w:spacing w:after="0" w:line="240" w:lineRule="auto"/>
                    <w:rPr>
                      <w:rFonts w:ascii="Times New Roman" w:eastAsia="Times New Roman" w:hAnsi="Times New Roman" w:cs="Times New Roman"/>
                      <w:color w:val="000000"/>
                    </w:rPr>
                  </w:pPr>
                </w:p>
              </w:tc>
              <w:tc>
                <w:tcPr>
                  <w:tcW w:w="1418" w:type="dxa"/>
                  <w:tcBorders>
                    <w:top w:val="nil"/>
                    <w:left w:val="nil"/>
                    <w:bottom w:val="nil"/>
                    <w:right w:val="nil"/>
                  </w:tcBorders>
                  <w:shd w:val="clear" w:color="auto" w:fill="auto"/>
                  <w:noWrap/>
                  <w:vAlign w:val="bottom"/>
                  <w:hideMark/>
                </w:tcPr>
                <w:p w:rsidR="00131DEF" w:rsidRPr="00CF5B13" w:rsidRDefault="00131DEF" w:rsidP="00131DEF">
                  <w:pPr>
                    <w:spacing w:after="0" w:line="240" w:lineRule="auto"/>
                    <w:rPr>
                      <w:rFonts w:ascii="Times New Roman" w:eastAsia="Times New Roman" w:hAnsi="Times New Roman" w:cs="Times New Roman"/>
                      <w:color w:val="000000"/>
                    </w:rPr>
                  </w:pPr>
                </w:p>
                <w:p w:rsidR="00131DEF" w:rsidRPr="00CF5B13" w:rsidRDefault="00131DEF" w:rsidP="00131DEF">
                  <w:pPr>
                    <w:spacing w:after="0" w:line="240" w:lineRule="auto"/>
                    <w:rPr>
                      <w:rFonts w:ascii="Times New Roman" w:eastAsia="Times New Roman" w:hAnsi="Times New Roman" w:cs="Times New Roman"/>
                      <w:color w:val="000000"/>
                    </w:rPr>
                  </w:pPr>
                </w:p>
                <w:p w:rsidR="00131DEF" w:rsidRPr="00CF5B13" w:rsidRDefault="00131DEF" w:rsidP="00131DEF">
                  <w:pPr>
                    <w:spacing w:after="0" w:line="240" w:lineRule="auto"/>
                    <w:rPr>
                      <w:rFonts w:ascii="Times New Roman" w:eastAsia="Times New Roman" w:hAnsi="Times New Roman" w:cs="Times New Roman"/>
                      <w:color w:val="000000"/>
                    </w:rPr>
                  </w:pPr>
                </w:p>
              </w:tc>
              <w:tc>
                <w:tcPr>
                  <w:tcW w:w="1275" w:type="dxa"/>
                  <w:tcBorders>
                    <w:top w:val="nil"/>
                    <w:left w:val="nil"/>
                    <w:bottom w:val="nil"/>
                    <w:right w:val="nil"/>
                  </w:tcBorders>
                  <w:shd w:val="clear" w:color="auto" w:fill="auto"/>
                  <w:noWrap/>
                  <w:vAlign w:val="bottom"/>
                  <w:hideMark/>
                </w:tcPr>
                <w:p w:rsidR="00131DEF" w:rsidRPr="00CF5B13" w:rsidRDefault="00131DEF" w:rsidP="00131DEF">
                  <w:pPr>
                    <w:spacing w:after="0" w:line="240" w:lineRule="auto"/>
                    <w:rPr>
                      <w:rFonts w:ascii="Times New Roman" w:eastAsia="Times New Roman" w:hAnsi="Times New Roman" w:cs="Times New Roman"/>
                    </w:rPr>
                  </w:pPr>
                </w:p>
              </w:tc>
              <w:tc>
                <w:tcPr>
                  <w:tcW w:w="1276" w:type="dxa"/>
                  <w:gridSpan w:val="2"/>
                  <w:tcBorders>
                    <w:top w:val="nil"/>
                    <w:left w:val="nil"/>
                    <w:bottom w:val="nil"/>
                    <w:right w:val="nil"/>
                  </w:tcBorders>
                  <w:shd w:val="clear" w:color="auto" w:fill="auto"/>
                  <w:noWrap/>
                  <w:vAlign w:val="bottom"/>
                  <w:hideMark/>
                </w:tcPr>
                <w:p w:rsidR="00131DEF" w:rsidRPr="00CF5B13" w:rsidRDefault="00131DEF" w:rsidP="00131DEF">
                  <w:pPr>
                    <w:spacing w:after="0" w:line="240" w:lineRule="auto"/>
                    <w:rPr>
                      <w:rFonts w:ascii="Times New Roman" w:eastAsia="Times New Roman" w:hAnsi="Times New Roman" w:cs="Times New Roman"/>
                    </w:rPr>
                  </w:pPr>
                </w:p>
              </w:tc>
              <w:tc>
                <w:tcPr>
                  <w:tcW w:w="1276" w:type="dxa"/>
                  <w:tcBorders>
                    <w:top w:val="nil"/>
                    <w:left w:val="nil"/>
                    <w:bottom w:val="nil"/>
                    <w:right w:val="nil"/>
                  </w:tcBorders>
                  <w:shd w:val="clear" w:color="auto" w:fill="auto"/>
                  <w:noWrap/>
                  <w:vAlign w:val="bottom"/>
                </w:tcPr>
                <w:p w:rsidR="00131DEF" w:rsidRPr="00CF5B13" w:rsidRDefault="00131DEF" w:rsidP="00131DEF">
                  <w:pPr>
                    <w:spacing w:after="0" w:line="240" w:lineRule="auto"/>
                    <w:rPr>
                      <w:rFonts w:ascii="Times New Roman" w:eastAsia="Times New Roman" w:hAnsi="Times New Roman" w:cs="Times New Roman"/>
                    </w:rPr>
                  </w:pPr>
                </w:p>
              </w:tc>
              <w:tc>
                <w:tcPr>
                  <w:tcW w:w="1843" w:type="dxa"/>
                  <w:tcBorders>
                    <w:top w:val="nil"/>
                    <w:left w:val="nil"/>
                    <w:bottom w:val="nil"/>
                    <w:right w:val="nil"/>
                  </w:tcBorders>
                  <w:shd w:val="clear" w:color="auto" w:fill="auto"/>
                  <w:noWrap/>
                  <w:vAlign w:val="bottom"/>
                </w:tcPr>
                <w:p w:rsidR="00131DEF" w:rsidRPr="00CF5B13" w:rsidRDefault="00131DEF" w:rsidP="00131DEF">
                  <w:pPr>
                    <w:spacing w:after="0" w:line="240" w:lineRule="auto"/>
                    <w:rPr>
                      <w:rFonts w:ascii="Times New Roman" w:eastAsia="Times New Roman" w:hAnsi="Times New Roman" w:cs="Times New Roman"/>
                    </w:rPr>
                  </w:pPr>
                </w:p>
              </w:tc>
            </w:tr>
            <w:tr w:rsidR="00131DEF" w:rsidRPr="00CF5B13" w:rsidTr="00F34662">
              <w:trPr>
                <w:trHeight w:val="330"/>
              </w:trPr>
              <w:tc>
                <w:tcPr>
                  <w:tcW w:w="8354"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131DEF" w:rsidRPr="00CF5B13" w:rsidRDefault="00131DEF" w:rsidP="00131DEF">
                  <w:pPr>
                    <w:spacing w:after="0" w:line="240" w:lineRule="auto"/>
                    <w:rPr>
                      <w:rFonts w:ascii="Times New Roman" w:eastAsia="Times New Roman" w:hAnsi="Times New Roman" w:cs="Times New Roman"/>
                      <w:b/>
                      <w:bCs/>
                      <w:color w:val="000000"/>
                    </w:rPr>
                  </w:pPr>
                  <w:r w:rsidRPr="00CF5B13">
                    <w:rPr>
                      <w:rFonts w:ascii="Times New Roman" w:eastAsia="Times New Roman" w:hAnsi="Times New Roman" w:cs="Times New Roman"/>
                      <w:b/>
                      <w:bCs/>
                      <w:color w:val="000000"/>
                      <w:lang w:val="cs-CZ"/>
                    </w:rPr>
                    <w:t>Vyšší odborné vzdělávání</w:t>
                  </w:r>
                  <w:r w:rsidRPr="00CF5B13">
                    <w:rPr>
                      <w:rFonts w:ascii="Times New Roman" w:eastAsia="Times New Roman" w:hAnsi="Times New Roman" w:cs="Times New Roman"/>
                      <w:b/>
                      <w:bCs/>
                      <w:color w:val="000000"/>
                    </w:rPr>
                    <w:t xml:space="preserve"> (</w:t>
                  </w:r>
                  <w:r w:rsidRPr="00CF5B13">
                    <w:rPr>
                      <w:rFonts w:ascii="Times New Roman" w:eastAsia="Times New Roman" w:hAnsi="Times New Roman" w:cs="Times New Roman"/>
                      <w:b/>
                      <w:bCs/>
                      <w:color w:val="000000"/>
                      <w:lang w:val="cs-CZ"/>
                    </w:rPr>
                    <w:t>VPŠ a SPŠ MV v Praze)</w:t>
                  </w:r>
                </w:p>
              </w:tc>
            </w:tr>
            <w:tr w:rsidR="00131DEF" w:rsidRPr="00CF5B13" w:rsidTr="00F34662">
              <w:trPr>
                <w:trHeight w:val="315"/>
              </w:trPr>
              <w:tc>
                <w:tcPr>
                  <w:tcW w:w="8354"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131DEF" w:rsidRPr="00CF5B13" w:rsidRDefault="00131DEF" w:rsidP="00131DEF">
                  <w:pPr>
                    <w:spacing w:after="0" w:line="240" w:lineRule="auto"/>
                    <w:rPr>
                      <w:rFonts w:ascii="Times New Roman" w:eastAsia="Times New Roman" w:hAnsi="Times New Roman" w:cs="Times New Roman"/>
                      <w:color w:val="000000"/>
                    </w:rPr>
                  </w:pPr>
                  <w:r w:rsidRPr="00CF5B13">
                    <w:rPr>
                      <w:rFonts w:ascii="Times New Roman" w:eastAsia="Times New Roman" w:hAnsi="Times New Roman" w:cs="Times New Roman"/>
                      <w:color w:val="000000"/>
                    </w:rPr>
                    <w:t>Školní rok 2022/2023</w:t>
                  </w:r>
                </w:p>
              </w:tc>
            </w:tr>
            <w:tr w:rsidR="00131DEF" w:rsidRPr="00CF5B13" w:rsidTr="00F34662">
              <w:trPr>
                <w:trHeight w:val="450"/>
              </w:trPr>
              <w:tc>
                <w:tcPr>
                  <w:tcW w:w="2684"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131DEF" w:rsidRPr="00CF5B13" w:rsidRDefault="00131DEF" w:rsidP="009C7831">
                  <w:pPr>
                    <w:spacing w:after="0" w:line="240" w:lineRule="auto"/>
                    <w:rPr>
                      <w:rFonts w:ascii="Times New Roman" w:eastAsia="Times New Roman" w:hAnsi="Times New Roman" w:cs="Times New Roman"/>
                      <w:color w:val="000000"/>
                    </w:rPr>
                  </w:pPr>
                  <w:r w:rsidRPr="00CF5B13">
                    <w:rPr>
                      <w:rFonts w:ascii="Times New Roman" w:eastAsia="Times New Roman" w:hAnsi="Times New Roman" w:cs="Times New Roman"/>
                      <w:b/>
                      <w:color w:val="000000"/>
                    </w:rPr>
                    <w:t xml:space="preserve">účast při přijímacím řízení </w:t>
                  </w:r>
                  <w:r w:rsidRPr="00CF5B13">
                    <w:rPr>
                      <w:rFonts w:ascii="Times New Roman" w:eastAsia="Times New Roman" w:hAnsi="Times New Roman" w:cs="Times New Roman"/>
                      <w:color w:val="000000"/>
                    </w:rPr>
                    <w:t xml:space="preserve">  (pro šk. rok 2022/2023)</w:t>
                  </w:r>
                </w:p>
              </w:tc>
              <w:tc>
                <w:tcPr>
                  <w:tcW w:w="2409"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131DEF" w:rsidRPr="00CF5B13" w:rsidRDefault="00131DEF" w:rsidP="00131DEF">
                  <w:pPr>
                    <w:spacing w:after="0" w:line="240" w:lineRule="auto"/>
                    <w:rPr>
                      <w:rFonts w:ascii="Times New Roman" w:eastAsia="Times New Roman" w:hAnsi="Times New Roman" w:cs="Times New Roman"/>
                      <w:color w:val="000000"/>
                    </w:rPr>
                  </w:pPr>
                  <w:r w:rsidRPr="00CF5B13">
                    <w:rPr>
                      <w:rFonts w:ascii="Times New Roman" w:eastAsia="Times New Roman" w:hAnsi="Times New Roman" w:cs="Times New Roman"/>
                      <w:b/>
                      <w:color w:val="000000"/>
                    </w:rPr>
                    <w:t xml:space="preserve">              přijato</w:t>
                  </w:r>
                </w:p>
              </w:tc>
              <w:tc>
                <w:tcPr>
                  <w:tcW w:w="3261"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131DEF" w:rsidRPr="00CF5B13" w:rsidRDefault="00131DEF" w:rsidP="00131DEF">
                  <w:pPr>
                    <w:spacing w:after="0" w:line="240" w:lineRule="auto"/>
                    <w:rPr>
                      <w:rFonts w:ascii="Times New Roman" w:eastAsia="Times New Roman" w:hAnsi="Times New Roman" w:cs="Times New Roman"/>
                      <w:b/>
                      <w:color w:val="000000"/>
                    </w:rPr>
                  </w:pPr>
                  <w:r w:rsidRPr="00CF5B13">
                    <w:rPr>
                      <w:rFonts w:ascii="Times New Roman" w:eastAsia="Times New Roman" w:hAnsi="Times New Roman" w:cs="Times New Roman"/>
                      <w:b/>
                      <w:color w:val="000000"/>
                    </w:rPr>
                    <w:t xml:space="preserve">                   celkem studenti</w:t>
                  </w:r>
                </w:p>
              </w:tc>
            </w:tr>
            <w:tr w:rsidR="00131DEF" w:rsidRPr="00CF5B13" w:rsidTr="00F34662">
              <w:trPr>
                <w:trHeight w:val="450"/>
              </w:trPr>
              <w:tc>
                <w:tcPr>
                  <w:tcW w:w="2684" w:type="dxa"/>
                  <w:gridSpan w:val="2"/>
                  <w:vMerge/>
                  <w:tcBorders>
                    <w:top w:val="single" w:sz="8" w:space="0" w:color="auto"/>
                    <w:left w:val="single" w:sz="8" w:space="0" w:color="auto"/>
                    <w:bottom w:val="single" w:sz="8" w:space="0" w:color="000000"/>
                    <w:right w:val="single" w:sz="8" w:space="0" w:color="000000"/>
                  </w:tcBorders>
                  <w:vAlign w:val="center"/>
                  <w:hideMark/>
                </w:tcPr>
                <w:p w:rsidR="00131DEF" w:rsidRPr="00CF5B13" w:rsidRDefault="00131DEF" w:rsidP="00131DEF">
                  <w:pPr>
                    <w:spacing w:after="0" w:line="240" w:lineRule="auto"/>
                    <w:rPr>
                      <w:rFonts w:ascii="Times New Roman" w:eastAsia="Times New Roman" w:hAnsi="Times New Roman" w:cs="Times New Roman"/>
                      <w:color w:val="000000"/>
                    </w:rPr>
                  </w:pPr>
                </w:p>
              </w:tc>
              <w:tc>
                <w:tcPr>
                  <w:tcW w:w="2409" w:type="dxa"/>
                  <w:gridSpan w:val="2"/>
                  <w:vMerge/>
                  <w:tcBorders>
                    <w:top w:val="single" w:sz="8" w:space="0" w:color="auto"/>
                    <w:left w:val="single" w:sz="8" w:space="0" w:color="auto"/>
                    <w:bottom w:val="single" w:sz="8" w:space="0" w:color="000000"/>
                    <w:right w:val="single" w:sz="8" w:space="0" w:color="000000"/>
                  </w:tcBorders>
                  <w:vAlign w:val="center"/>
                  <w:hideMark/>
                </w:tcPr>
                <w:p w:rsidR="00131DEF" w:rsidRPr="00CF5B13" w:rsidRDefault="00131DEF" w:rsidP="00131DEF">
                  <w:pPr>
                    <w:spacing w:after="0" w:line="240" w:lineRule="auto"/>
                    <w:rPr>
                      <w:rFonts w:ascii="Times New Roman" w:eastAsia="Times New Roman" w:hAnsi="Times New Roman" w:cs="Times New Roman"/>
                      <w:color w:val="000000"/>
                    </w:rPr>
                  </w:pPr>
                </w:p>
              </w:tc>
              <w:tc>
                <w:tcPr>
                  <w:tcW w:w="3261" w:type="dxa"/>
                  <w:gridSpan w:val="3"/>
                  <w:vMerge/>
                  <w:tcBorders>
                    <w:top w:val="single" w:sz="8" w:space="0" w:color="auto"/>
                    <w:left w:val="single" w:sz="8" w:space="0" w:color="auto"/>
                    <w:bottom w:val="single" w:sz="8" w:space="0" w:color="000000"/>
                    <w:right w:val="single" w:sz="8" w:space="0" w:color="000000"/>
                  </w:tcBorders>
                  <w:vAlign w:val="center"/>
                  <w:hideMark/>
                </w:tcPr>
                <w:p w:rsidR="00131DEF" w:rsidRPr="00CF5B13" w:rsidRDefault="00131DEF" w:rsidP="00131DEF">
                  <w:pPr>
                    <w:spacing w:after="0" w:line="240" w:lineRule="auto"/>
                    <w:rPr>
                      <w:rFonts w:ascii="Times New Roman" w:eastAsia="Times New Roman" w:hAnsi="Times New Roman" w:cs="Times New Roman"/>
                      <w:color w:val="000000"/>
                    </w:rPr>
                  </w:pPr>
                </w:p>
              </w:tc>
            </w:tr>
            <w:tr w:rsidR="00131DEF" w:rsidRPr="00CF5B13" w:rsidTr="00F34662">
              <w:trPr>
                <w:trHeight w:val="450"/>
              </w:trPr>
              <w:tc>
                <w:tcPr>
                  <w:tcW w:w="2684" w:type="dxa"/>
                  <w:gridSpan w:val="2"/>
                  <w:vMerge/>
                  <w:tcBorders>
                    <w:top w:val="single" w:sz="8" w:space="0" w:color="auto"/>
                    <w:left w:val="single" w:sz="8" w:space="0" w:color="auto"/>
                    <w:bottom w:val="single" w:sz="8" w:space="0" w:color="000000"/>
                    <w:right w:val="single" w:sz="8" w:space="0" w:color="000000"/>
                  </w:tcBorders>
                  <w:vAlign w:val="center"/>
                  <w:hideMark/>
                </w:tcPr>
                <w:p w:rsidR="00131DEF" w:rsidRPr="00CF5B13" w:rsidRDefault="00131DEF" w:rsidP="00131DEF">
                  <w:pPr>
                    <w:spacing w:after="0" w:line="240" w:lineRule="auto"/>
                    <w:rPr>
                      <w:rFonts w:ascii="Times New Roman" w:eastAsia="Times New Roman" w:hAnsi="Times New Roman" w:cs="Times New Roman"/>
                      <w:color w:val="000000"/>
                    </w:rPr>
                  </w:pPr>
                </w:p>
              </w:tc>
              <w:tc>
                <w:tcPr>
                  <w:tcW w:w="2409" w:type="dxa"/>
                  <w:gridSpan w:val="2"/>
                  <w:vMerge/>
                  <w:tcBorders>
                    <w:top w:val="single" w:sz="8" w:space="0" w:color="auto"/>
                    <w:left w:val="single" w:sz="8" w:space="0" w:color="auto"/>
                    <w:bottom w:val="single" w:sz="8" w:space="0" w:color="000000"/>
                    <w:right w:val="single" w:sz="8" w:space="0" w:color="000000"/>
                  </w:tcBorders>
                  <w:vAlign w:val="center"/>
                  <w:hideMark/>
                </w:tcPr>
                <w:p w:rsidR="00131DEF" w:rsidRPr="00CF5B13" w:rsidRDefault="00131DEF" w:rsidP="00131DEF">
                  <w:pPr>
                    <w:spacing w:after="0" w:line="240" w:lineRule="auto"/>
                    <w:rPr>
                      <w:rFonts w:ascii="Times New Roman" w:eastAsia="Times New Roman" w:hAnsi="Times New Roman" w:cs="Times New Roman"/>
                      <w:color w:val="000000"/>
                    </w:rPr>
                  </w:pPr>
                </w:p>
              </w:tc>
              <w:tc>
                <w:tcPr>
                  <w:tcW w:w="3261" w:type="dxa"/>
                  <w:gridSpan w:val="3"/>
                  <w:vMerge/>
                  <w:tcBorders>
                    <w:top w:val="single" w:sz="8" w:space="0" w:color="auto"/>
                    <w:left w:val="single" w:sz="8" w:space="0" w:color="auto"/>
                    <w:bottom w:val="single" w:sz="8" w:space="0" w:color="000000"/>
                    <w:right w:val="single" w:sz="8" w:space="0" w:color="000000"/>
                  </w:tcBorders>
                  <w:vAlign w:val="center"/>
                  <w:hideMark/>
                </w:tcPr>
                <w:p w:rsidR="00131DEF" w:rsidRPr="00CF5B13" w:rsidRDefault="00131DEF" w:rsidP="00131DEF">
                  <w:pPr>
                    <w:spacing w:after="0" w:line="240" w:lineRule="auto"/>
                    <w:rPr>
                      <w:rFonts w:ascii="Times New Roman" w:eastAsia="Times New Roman" w:hAnsi="Times New Roman" w:cs="Times New Roman"/>
                      <w:color w:val="000000"/>
                    </w:rPr>
                  </w:pPr>
                </w:p>
              </w:tc>
            </w:tr>
            <w:tr w:rsidR="00131DEF" w:rsidRPr="00CF5B13" w:rsidTr="00F34662">
              <w:trPr>
                <w:trHeight w:val="315"/>
              </w:trPr>
              <w:tc>
                <w:tcPr>
                  <w:tcW w:w="1266" w:type="dxa"/>
                  <w:tcBorders>
                    <w:top w:val="nil"/>
                    <w:left w:val="single" w:sz="8" w:space="0" w:color="auto"/>
                    <w:bottom w:val="single" w:sz="4" w:space="0" w:color="auto"/>
                    <w:right w:val="single" w:sz="8" w:space="0" w:color="auto"/>
                  </w:tcBorders>
                  <w:shd w:val="clear" w:color="auto" w:fill="auto"/>
                  <w:vAlign w:val="center"/>
                  <w:hideMark/>
                </w:tcPr>
                <w:p w:rsidR="00131DEF" w:rsidRPr="00CF5B13" w:rsidRDefault="00131DEF" w:rsidP="00131DEF">
                  <w:pPr>
                    <w:spacing w:after="0" w:line="240" w:lineRule="auto"/>
                    <w:jc w:val="center"/>
                    <w:rPr>
                      <w:rFonts w:ascii="Times New Roman" w:eastAsia="Times New Roman" w:hAnsi="Times New Roman" w:cs="Times New Roman"/>
                      <w:color w:val="000000"/>
                    </w:rPr>
                  </w:pPr>
                  <w:r w:rsidRPr="00CF5B13">
                    <w:rPr>
                      <w:rFonts w:ascii="Times New Roman" w:eastAsia="Times New Roman" w:hAnsi="Times New Roman" w:cs="Times New Roman"/>
                      <w:color w:val="000000"/>
                    </w:rPr>
                    <w:t>muži</w:t>
                  </w:r>
                </w:p>
              </w:tc>
              <w:tc>
                <w:tcPr>
                  <w:tcW w:w="1418" w:type="dxa"/>
                  <w:tcBorders>
                    <w:top w:val="nil"/>
                    <w:left w:val="nil"/>
                    <w:bottom w:val="single" w:sz="4" w:space="0" w:color="auto"/>
                    <w:right w:val="single" w:sz="8" w:space="0" w:color="auto"/>
                  </w:tcBorders>
                  <w:shd w:val="clear" w:color="auto" w:fill="auto"/>
                  <w:vAlign w:val="center"/>
                  <w:hideMark/>
                </w:tcPr>
                <w:p w:rsidR="00131DEF" w:rsidRPr="00CF5B13" w:rsidRDefault="00131DEF" w:rsidP="00131DEF">
                  <w:pPr>
                    <w:spacing w:after="0" w:line="240" w:lineRule="auto"/>
                    <w:jc w:val="center"/>
                    <w:rPr>
                      <w:rFonts w:ascii="Times New Roman" w:eastAsia="Times New Roman" w:hAnsi="Times New Roman" w:cs="Times New Roman"/>
                      <w:color w:val="000000"/>
                    </w:rPr>
                  </w:pPr>
                  <w:r w:rsidRPr="00CF5B13">
                    <w:rPr>
                      <w:rFonts w:ascii="Times New Roman" w:eastAsia="Times New Roman" w:hAnsi="Times New Roman" w:cs="Times New Roman"/>
                      <w:color w:val="000000"/>
                    </w:rPr>
                    <w:t>ženy</w:t>
                  </w:r>
                </w:p>
              </w:tc>
              <w:tc>
                <w:tcPr>
                  <w:tcW w:w="1275" w:type="dxa"/>
                  <w:tcBorders>
                    <w:top w:val="nil"/>
                    <w:left w:val="nil"/>
                    <w:bottom w:val="single" w:sz="4" w:space="0" w:color="auto"/>
                    <w:right w:val="single" w:sz="8" w:space="0" w:color="auto"/>
                  </w:tcBorders>
                  <w:shd w:val="clear" w:color="auto" w:fill="auto"/>
                  <w:vAlign w:val="center"/>
                  <w:hideMark/>
                </w:tcPr>
                <w:p w:rsidR="00131DEF" w:rsidRPr="00CF5B13" w:rsidRDefault="00131DEF" w:rsidP="00131DEF">
                  <w:pPr>
                    <w:spacing w:after="0" w:line="240" w:lineRule="auto"/>
                    <w:jc w:val="center"/>
                    <w:rPr>
                      <w:rFonts w:ascii="Times New Roman" w:eastAsia="Times New Roman" w:hAnsi="Times New Roman" w:cs="Times New Roman"/>
                      <w:color w:val="000000"/>
                    </w:rPr>
                  </w:pPr>
                  <w:r w:rsidRPr="00CF5B13">
                    <w:rPr>
                      <w:rFonts w:ascii="Times New Roman" w:eastAsia="Times New Roman" w:hAnsi="Times New Roman" w:cs="Times New Roman"/>
                      <w:color w:val="000000"/>
                    </w:rPr>
                    <w:t>muži</w:t>
                  </w:r>
                </w:p>
              </w:tc>
              <w:tc>
                <w:tcPr>
                  <w:tcW w:w="1134" w:type="dxa"/>
                  <w:tcBorders>
                    <w:top w:val="nil"/>
                    <w:left w:val="nil"/>
                    <w:bottom w:val="single" w:sz="4" w:space="0" w:color="auto"/>
                    <w:right w:val="single" w:sz="8" w:space="0" w:color="auto"/>
                  </w:tcBorders>
                  <w:shd w:val="clear" w:color="auto" w:fill="auto"/>
                  <w:vAlign w:val="center"/>
                  <w:hideMark/>
                </w:tcPr>
                <w:p w:rsidR="00131DEF" w:rsidRPr="00CF5B13" w:rsidRDefault="00131DEF" w:rsidP="00131DEF">
                  <w:pPr>
                    <w:spacing w:after="0" w:line="240" w:lineRule="auto"/>
                    <w:jc w:val="center"/>
                    <w:rPr>
                      <w:rFonts w:ascii="Times New Roman" w:eastAsia="Times New Roman" w:hAnsi="Times New Roman" w:cs="Times New Roman"/>
                      <w:color w:val="000000"/>
                    </w:rPr>
                  </w:pPr>
                  <w:r w:rsidRPr="00CF5B13">
                    <w:rPr>
                      <w:rFonts w:ascii="Times New Roman" w:eastAsia="Times New Roman" w:hAnsi="Times New Roman" w:cs="Times New Roman"/>
                      <w:color w:val="000000"/>
                    </w:rPr>
                    <w:t>ženy</w:t>
                  </w:r>
                </w:p>
              </w:tc>
              <w:tc>
                <w:tcPr>
                  <w:tcW w:w="1418" w:type="dxa"/>
                  <w:gridSpan w:val="2"/>
                  <w:tcBorders>
                    <w:top w:val="nil"/>
                    <w:left w:val="nil"/>
                    <w:bottom w:val="single" w:sz="4" w:space="0" w:color="auto"/>
                    <w:right w:val="single" w:sz="8" w:space="0" w:color="auto"/>
                  </w:tcBorders>
                  <w:shd w:val="clear" w:color="auto" w:fill="auto"/>
                  <w:vAlign w:val="center"/>
                  <w:hideMark/>
                </w:tcPr>
                <w:p w:rsidR="00131DEF" w:rsidRPr="00CF5B13" w:rsidRDefault="00131DEF" w:rsidP="00131DEF">
                  <w:pPr>
                    <w:spacing w:after="0" w:line="240" w:lineRule="auto"/>
                    <w:jc w:val="center"/>
                    <w:rPr>
                      <w:rFonts w:ascii="Times New Roman" w:eastAsia="Times New Roman" w:hAnsi="Times New Roman" w:cs="Times New Roman"/>
                      <w:color w:val="000000"/>
                    </w:rPr>
                  </w:pPr>
                  <w:r w:rsidRPr="00CF5B13">
                    <w:rPr>
                      <w:rFonts w:ascii="Times New Roman" w:eastAsia="Times New Roman" w:hAnsi="Times New Roman" w:cs="Times New Roman"/>
                      <w:color w:val="000000"/>
                    </w:rPr>
                    <w:t>muži</w:t>
                  </w:r>
                </w:p>
              </w:tc>
              <w:tc>
                <w:tcPr>
                  <w:tcW w:w="1843" w:type="dxa"/>
                  <w:tcBorders>
                    <w:top w:val="nil"/>
                    <w:left w:val="nil"/>
                    <w:bottom w:val="single" w:sz="4" w:space="0" w:color="auto"/>
                    <w:right w:val="single" w:sz="8" w:space="0" w:color="auto"/>
                  </w:tcBorders>
                  <w:shd w:val="clear" w:color="auto" w:fill="auto"/>
                  <w:vAlign w:val="center"/>
                  <w:hideMark/>
                </w:tcPr>
                <w:p w:rsidR="00131DEF" w:rsidRPr="00CF5B13" w:rsidRDefault="00131DEF" w:rsidP="00131DEF">
                  <w:pPr>
                    <w:spacing w:after="0" w:line="240" w:lineRule="auto"/>
                    <w:jc w:val="center"/>
                    <w:rPr>
                      <w:rFonts w:ascii="Times New Roman" w:eastAsia="Times New Roman" w:hAnsi="Times New Roman" w:cs="Times New Roman"/>
                      <w:color w:val="000000"/>
                    </w:rPr>
                  </w:pPr>
                  <w:r w:rsidRPr="00CF5B13">
                    <w:rPr>
                      <w:rFonts w:ascii="Times New Roman" w:eastAsia="Times New Roman" w:hAnsi="Times New Roman" w:cs="Times New Roman"/>
                      <w:color w:val="000000"/>
                    </w:rPr>
                    <w:t>ženy</w:t>
                  </w:r>
                </w:p>
              </w:tc>
            </w:tr>
            <w:tr w:rsidR="00131DEF" w:rsidRPr="00CF5B13" w:rsidTr="00F34662">
              <w:trPr>
                <w:trHeight w:val="330"/>
              </w:trPr>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131DEF" w:rsidRPr="00CF5B13" w:rsidRDefault="00131DEF" w:rsidP="00131DEF">
                  <w:pPr>
                    <w:spacing w:after="0" w:line="240" w:lineRule="auto"/>
                    <w:jc w:val="center"/>
                    <w:rPr>
                      <w:rFonts w:ascii="Times New Roman" w:eastAsia="Times New Roman" w:hAnsi="Times New Roman" w:cs="Times New Roman"/>
                      <w:color w:val="000000"/>
                    </w:rPr>
                  </w:pPr>
                  <w:r w:rsidRPr="00CF5B13">
                    <w:rPr>
                      <w:rFonts w:ascii="Times New Roman" w:eastAsia="Times New Roman" w:hAnsi="Times New Roman" w:cs="Times New Roman"/>
                      <w:color w:val="000000"/>
                    </w:rPr>
                    <w:t>104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1DEF" w:rsidRPr="00CF5B13" w:rsidRDefault="00131DEF" w:rsidP="00131DEF">
                  <w:pPr>
                    <w:spacing w:after="0" w:line="240" w:lineRule="auto"/>
                    <w:jc w:val="center"/>
                    <w:rPr>
                      <w:rFonts w:ascii="Times New Roman" w:eastAsia="Times New Roman" w:hAnsi="Times New Roman" w:cs="Times New Roman"/>
                      <w:color w:val="000000"/>
                    </w:rPr>
                  </w:pPr>
                  <w:r w:rsidRPr="00CF5B13">
                    <w:rPr>
                      <w:rFonts w:ascii="Times New Roman" w:eastAsia="Times New Roman" w:hAnsi="Times New Roman" w:cs="Times New Roman"/>
                      <w:color w:val="000000"/>
                    </w:rPr>
                    <w:t>37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31DEF" w:rsidRPr="00CF5B13" w:rsidRDefault="00131DEF" w:rsidP="00131DEF">
                  <w:pPr>
                    <w:spacing w:after="0" w:line="240" w:lineRule="auto"/>
                    <w:jc w:val="center"/>
                    <w:rPr>
                      <w:rFonts w:ascii="Times New Roman" w:eastAsia="Times New Roman" w:hAnsi="Times New Roman" w:cs="Times New Roman"/>
                      <w:color w:val="000000"/>
                    </w:rPr>
                  </w:pPr>
                  <w:r w:rsidRPr="00CF5B13">
                    <w:rPr>
                      <w:rFonts w:ascii="Times New Roman" w:eastAsia="Times New Roman" w:hAnsi="Times New Roman" w:cs="Times New Roman"/>
                      <w:color w:val="000000"/>
                    </w:rPr>
                    <w:t>104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31DEF" w:rsidRPr="00CF5B13" w:rsidRDefault="00131DEF" w:rsidP="00131DEF">
                  <w:pPr>
                    <w:spacing w:after="0" w:line="240" w:lineRule="auto"/>
                    <w:jc w:val="center"/>
                    <w:rPr>
                      <w:rFonts w:ascii="Times New Roman" w:eastAsia="Times New Roman" w:hAnsi="Times New Roman" w:cs="Times New Roman"/>
                      <w:color w:val="000000"/>
                    </w:rPr>
                  </w:pPr>
                  <w:r w:rsidRPr="00CF5B13">
                    <w:rPr>
                      <w:rFonts w:ascii="Times New Roman" w:eastAsia="Times New Roman" w:hAnsi="Times New Roman" w:cs="Times New Roman"/>
                      <w:color w:val="000000"/>
                    </w:rPr>
                    <w:t>37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1DEF" w:rsidRPr="00CF5B13" w:rsidRDefault="00131DEF" w:rsidP="00131DEF">
                  <w:pPr>
                    <w:spacing w:after="0" w:line="240" w:lineRule="auto"/>
                    <w:jc w:val="center"/>
                    <w:rPr>
                      <w:rFonts w:ascii="Times New Roman" w:eastAsia="Times New Roman" w:hAnsi="Times New Roman" w:cs="Times New Roman"/>
                      <w:color w:val="000000"/>
                    </w:rPr>
                  </w:pPr>
                  <w:r w:rsidRPr="00CF5B13">
                    <w:rPr>
                      <w:rFonts w:ascii="Times New Roman" w:eastAsia="Times New Roman" w:hAnsi="Times New Roman" w:cs="Times New Roman"/>
                      <w:color w:val="000000"/>
                    </w:rPr>
                    <w:t>235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31DEF" w:rsidRPr="00CF5B13" w:rsidRDefault="00131DEF" w:rsidP="00131DEF">
                  <w:pPr>
                    <w:spacing w:after="0" w:line="240" w:lineRule="auto"/>
                    <w:jc w:val="center"/>
                    <w:rPr>
                      <w:rFonts w:ascii="Times New Roman" w:eastAsia="Times New Roman" w:hAnsi="Times New Roman" w:cs="Times New Roman"/>
                      <w:color w:val="000000"/>
                    </w:rPr>
                  </w:pPr>
                  <w:r w:rsidRPr="00CF5B13">
                    <w:rPr>
                      <w:rFonts w:ascii="Times New Roman" w:eastAsia="Times New Roman" w:hAnsi="Times New Roman" w:cs="Times New Roman"/>
                      <w:color w:val="000000"/>
                    </w:rPr>
                    <w:t>65</w:t>
                  </w:r>
                </w:p>
              </w:tc>
            </w:tr>
            <w:tr w:rsidR="00131DEF" w:rsidRPr="00CF5B13" w:rsidTr="00F34662">
              <w:trPr>
                <w:trHeight w:val="330"/>
              </w:trPr>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131DEF" w:rsidRPr="00CF5B13" w:rsidRDefault="00131DEF" w:rsidP="00131DEF">
                  <w:pPr>
                    <w:spacing w:after="0" w:line="240" w:lineRule="auto"/>
                    <w:jc w:val="center"/>
                    <w:rPr>
                      <w:rFonts w:ascii="Times New Roman" w:eastAsia="Times New Roman"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1DEF" w:rsidRPr="00CF5B13" w:rsidRDefault="00131DEF" w:rsidP="00131DEF">
                  <w:pPr>
                    <w:spacing w:after="0" w:line="240" w:lineRule="auto"/>
                    <w:jc w:val="center"/>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131DEF" w:rsidRPr="00CF5B13" w:rsidRDefault="00131DEF" w:rsidP="00131DEF">
                  <w:pPr>
                    <w:spacing w:after="0" w:line="240" w:lineRule="auto"/>
                    <w:jc w:val="center"/>
                    <w:rPr>
                      <w:rFonts w:ascii="Times New Roman" w:eastAsia="Times New Roman" w:hAnsi="Times New Roman" w:cs="Times New Roman"/>
                      <w:color w:val="000000"/>
                    </w:rPr>
                  </w:pPr>
                  <w:r w:rsidRPr="00CF5B13">
                    <w:rPr>
                      <w:rFonts w:ascii="Times New Roman" w:eastAsia="Times New Roman" w:hAnsi="Times New Roman" w:cs="Times New Roman"/>
                      <w:color w:val="000000"/>
                    </w:rPr>
                    <w:t>73, 8 %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31DEF" w:rsidRPr="00CF5B13" w:rsidRDefault="00131DEF" w:rsidP="00131DEF">
                  <w:pPr>
                    <w:spacing w:after="0" w:line="240" w:lineRule="auto"/>
                    <w:jc w:val="center"/>
                    <w:rPr>
                      <w:rFonts w:ascii="Times New Roman" w:eastAsia="Times New Roman" w:hAnsi="Times New Roman" w:cs="Times New Roman"/>
                      <w:color w:val="000000"/>
                    </w:rPr>
                  </w:pPr>
                  <w:r w:rsidRPr="00CF5B13">
                    <w:rPr>
                      <w:rFonts w:ascii="Times New Roman" w:eastAsia="Times New Roman" w:hAnsi="Times New Roman" w:cs="Times New Roman"/>
                      <w:color w:val="000000"/>
                    </w:rPr>
                    <w:t>26, 2 %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1DEF" w:rsidRPr="00CF5B13" w:rsidRDefault="00131DEF" w:rsidP="00131DEF">
                  <w:pPr>
                    <w:spacing w:after="0" w:line="240" w:lineRule="auto"/>
                    <w:jc w:val="center"/>
                    <w:rPr>
                      <w:rFonts w:ascii="Times New Roman" w:eastAsia="Times New Roman" w:hAnsi="Times New Roman" w:cs="Times New Roman"/>
                      <w:color w:val="000000"/>
                    </w:rPr>
                  </w:pPr>
                  <w:r w:rsidRPr="00CF5B13">
                    <w:rPr>
                      <w:rFonts w:ascii="Times New Roman" w:eastAsia="Times New Roman" w:hAnsi="Times New Roman" w:cs="Times New Roman"/>
                      <w:color w:val="000000"/>
                    </w:rPr>
                    <w:t>78, 3 %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31DEF" w:rsidRPr="00CF5B13" w:rsidRDefault="00131DEF" w:rsidP="00131DEF">
                  <w:pPr>
                    <w:spacing w:after="0" w:line="240" w:lineRule="auto"/>
                    <w:jc w:val="center"/>
                    <w:rPr>
                      <w:rFonts w:ascii="Times New Roman" w:eastAsia="Times New Roman" w:hAnsi="Times New Roman" w:cs="Times New Roman"/>
                      <w:color w:val="000000"/>
                    </w:rPr>
                  </w:pPr>
                  <w:r w:rsidRPr="00CF5B13">
                    <w:rPr>
                      <w:rFonts w:ascii="Times New Roman" w:eastAsia="Times New Roman" w:hAnsi="Times New Roman" w:cs="Times New Roman"/>
                      <w:color w:val="000000"/>
                    </w:rPr>
                    <w:t>21, 4 %</w:t>
                  </w:r>
                </w:p>
              </w:tc>
            </w:tr>
          </w:tbl>
          <w:p w:rsidR="00131DEF" w:rsidRPr="00CF5B13" w:rsidRDefault="00131DEF" w:rsidP="00131DEF">
            <w:pPr>
              <w:rPr>
                <w:rFonts w:ascii="Times New Roman" w:hAnsi="Times New Roman" w:cs="Times New Roman"/>
              </w:rPr>
            </w:pPr>
          </w:p>
          <w:p w:rsidR="00131DEF" w:rsidRPr="00CF5B13" w:rsidRDefault="00131DEF" w:rsidP="00131DEF">
            <w:pPr>
              <w:rPr>
                <w:rFonts w:ascii="Times New Roman" w:hAnsi="Times New Roman" w:cs="Times New Roman"/>
              </w:rPr>
            </w:pPr>
          </w:p>
          <w:tbl>
            <w:tblPr>
              <w:tblW w:w="8354" w:type="dxa"/>
              <w:tblLook w:val="04A0" w:firstRow="1" w:lastRow="0" w:firstColumn="1" w:lastColumn="0" w:noHBand="0" w:noVBand="1"/>
            </w:tblPr>
            <w:tblGrid>
              <w:gridCol w:w="1266"/>
              <w:gridCol w:w="1418"/>
              <w:gridCol w:w="1275"/>
              <w:gridCol w:w="1276"/>
              <w:gridCol w:w="1276"/>
              <w:gridCol w:w="1843"/>
            </w:tblGrid>
            <w:tr w:rsidR="00131DEF" w:rsidRPr="00CF5B13" w:rsidTr="00F34662">
              <w:trPr>
                <w:trHeight w:val="330"/>
              </w:trPr>
              <w:tc>
                <w:tcPr>
                  <w:tcW w:w="8354"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131DEF" w:rsidRPr="00CF5B13" w:rsidRDefault="00131DEF" w:rsidP="00131DEF">
                  <w:pPr>
                    <w:spacing w:after="0" w:line="240" w:lineRule="auto"/>
                    <w:rPr>
                      <w:rFonts w:ascii="Times New Roman" w:eastAsia="Times New Roman" w:hAnsi="Times New Roman" w:cs="Times New Roman"/>
                      <w:b/>
                      <w:bCs/>
                      <w:color w:val="000000"/>
                    </w:rPr>
                  </w:pPr>
                  <w:r w:rsidRPr="00CF5B13">
                    <w:rPr>
                      <w:rFonts w:ascii="Times New Roman" w:eastAsia="Times New Roman" w:hAnsi="Times New Roman" w:cs="Times New Roman"/>
                      <w:b/>
                      <w:bCs/>
                      <w:color w:val="000000"/>
                    </w:rPr>
                    <w:t>Policejní akademie České republiky v Praze</w:t>
                  </w:r>
                </w:p>
              </w:tc>
            </w:tr>
            <w:tr w:rsidR="00131DEF" w:rsidRPr="00CF5B13" w:rsidTr="00F34662">
              <w:trPr>
                <w:trHeight w:val="315"/>
              </w:trPr>
              <w:tc>
                <w:tcPr>
                  <w:tcW w:w="8354"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131DEF" w:rsidRPr="00CF5B13" w:rsidRDefault="00131DEF" w:rsidP="00131DEF">
                  <w:pPr>
                    <w:spacing w:after="0" w:line="240" w:lineRule="auto"/>
                    <w:rPr>
                      <w:rFonts w:ascii="Times New Roman" w:eastAsia="Times New Roman" w:hAnsi="Times New Roman" w:cs="Times New Roman"/>
                      <w:color w:val="000000"/>
                    </w:rPr>
                  </w:pPr>
                  <w:r w:rsidRPr="00CF5B13">
                    <w:rPr>
                      <w:rFonts w:ascii="Times New Roman" w:eastAsia="Times New Roman" w:hAnsi="Times New Roman" w:cs="Times New Roman"/>
                      <w:color w:val="000000"/>
                    </w:rPr>
                    <w:t>Akademický rok 2022/2023</w:t>
                  </w:r>
                </w:p>
              </w:tc>
            </w:tr>
            <w:tr w:rsidR="00131DEF" w:rsidRPr="00CF5B13" w:rsidTr="00F34662">
              <w:trPr>
                <w:trHeight w:val="955"/>
              </w:trPr>
              <w:tc>
                <w:tcPr>
                  <w:tcW w:w="2684" w:type="dxa"/>
                  <w:gridSpan w:val="2"/>
                  <w:tcBorders>
                    <w:top w:val="single" w:sz="8" w:space="0" w:color="auto"/>
                    <w:left w:val="single" w:sz="8" w:space="0" w:color="auto"/>
                    <w:bottom w:val="single" w:sz="8" w:space="0" w:color="000000"/>
                    <w:right w:val="single" w:sz="8" w:space="0" w:color="000000"/>
                  </w:tcBorders>
                  <w:shd w:val="clear" w:color="auto" w:fill="auto"/>
                  <w:vAlign w:val="center"/>
                  <w:hideMark/>
                </w:tcPr>
                <w:p w:rsidR="00131DEF" w:rsidRPr="00CF5B13" w:rsidRDefault="00131DEF" w:rsidP="009C7831">
                  <w:pPr>
                    <w:spacing w:after="0" w:line="240" w:lineRule="auto"/>
                    <w:rPr>
                      <w:rFonts w:ascii="Times New Roman" w:eastAsia="Times New Roman" w:hAnsi="Times New Roman" w:cs="Times New Roman"/>
                      <w:color w:val="000000"/>
                    </w:rPr>
                  </w:pPr>
                  <w:r w:rsidRPr="00CF5B13">
                    <w:rPr>
                      <w:rFonts w:ascii="Times New Roman" w:eastAsia="Times New Roman" w:hAnsi="Times New Roman" w:cs="Times New Roman"/>
                      <w:b/>
                      <w:color w:val="000000"/>
                    </w:rPr>
                    <w:t>účast při přijímacím řízení</w:t>
                  </w:r>
                  <w:r w:rsidR="009C7831" w:rsidRPr="00CF5B13">
                    <w:rPr>
                      <w:rFonts w:ascii="Times New Roman" w:eastAsia="Times New Roman" w:hAnsi="Times New Roman" w:cs="Times New Roman"/>
                      <w:b/>
                      <w:color w:val="000000"/>
                    </w:rPr>
                    <w:t xml:space="preserve"> </w:t>
                  </w:r>
                  <w:r w:rsidRPr="00CF5B13">
                    <w:rPr>
                      <w:rFonts w:ascii="Times New Roman" w:eastAsia="Times New Roman" w:hAnsi="Times New Roman" w:cs="Times New Roman"/>
                      <w:color w:val="000000"/>
                    </w:rPr>
                    <w:t xml:space="preserve"> (pro ak. rok 2022/2023)</w:t>
                  </w:r>
                </w:p>
              </w:tc>
              <w:tc>
                <w:tcPr>
                  <w:tcW w:w="2551" w:type="dxa"/>
                  <w:gridSpan w:val="2"/>
                  <w:tcBorders>
                    <w:top w:val="single" w:sz="8" w:space="0" w:color="auto"/>
                    <w:left w:val="single" w:sz="8" w:space="0" w:color="auto"/>
                    <w:bottom w:val="single" w:sz="8" w:space="0" w:color="000000"/>
                    <w:right w:val="single" w:sz="8" w:space="0" w:color="000000"/>
                  </w:tcBorders>
                  <w:shd w:val="clear" w:color="auto" w:fill="auto"/>
                  <w:vAlign w:val="center"/>
                  <w:hideMark/>
                </w:tcPr>
                <w:p w:rsidR="00131DEF" w:rsidRPr="00CF5B13" w:rsidRDefault="00131DEF" w:rsidP="00131DEF">
                  <w:pPr>
                    <w:spacing w:after="0" w:line="240" w:lineRule="auto"/>
                    <w:jc w:val="center"/>
                    <w:rPr>
                      <w:rFonts w:ascii="Times New Roman" w:eastAsia="Times New Roman" w:hAnsi="Times New Roman" w:cs="Times New Roman"/>
                      <w:b/>
                      <w:color w:val="000000"/>
                    </w:rPr>
                  </w:pPr>
                  <w:r w:rsidRPr="00CF5B13">
                    <w:rPr>
                      <w:rFonts w:ascii="Times New Roman" w:eastAsia="Times New Roman" w:hAnsi="Times New Roman" w:cs="Times New Roman"/>
                      <w:b/>
                      <w:color w:val="000000"/>
                    </w:rPr>
                    <w:t>přijato</w:t>
                  </w:r>
                </w:p>
                <w:p w:rsidR="00131DEF" w:rsidRPr="00CF5B13" w:rsidRDefault="00131DEF" w:rsidP="00131DEF">
                  <w:pPr>
                    <w:spacing w:after="0" w:line="240" w:lineRule="auto"/>
                    <w:jc w:val="center"/>
                    <w:rPr>
                      <w:rFonts w:ascii="Times New Roman" w:eastAsia="Times New Roman" w:hAnsi="Times New Roman" w:cs="Times New Roman"/>
                      <w:color w:val="000000"/>
                    </w:rPr>
                  </w:pPr>
                </w:p>
              </w:tc>
              <w:tc>
                <w:tcPr>
                  <w:tcW w:w="3119" w:type="dxa"/>
                  <w:gridSpan w:val="2"/>
                  <w:tcBorders>
                    <w:top w:val="nil"/>
                    <w:left w:val="nil"/>
                    <w:bottom w:val="single" w:sz="4" w:space="0" w:color="auto"/>
                    <w:right w:val="single" w:sz="8" w:space="0" w:color="auto"/>
                  </w:tcBorders>
                  <w:shd w:val="clear" w:color="auto" w:fill="auto"/>
                  <w:vAlign w:val="bottom"/>
                  <w:hideMark/>
                </w:tcPr>
                <w:p w:rsidR="00131DEF" w:rsidRPr="00CF5B13" w:rsidRDefault="00131DEF" w:rsidP="009C7831">
                  <w:pPr>
                    <w:spacing w:after="240" w:line="240" w:lineRule="auto"/>
                    <w:jc w:val="center"/>
                    <w:rPr>
                      <w:rFonts w:ascii="Times New Roman" w:eastAsia="Times New Roman" w:hAnsi="Times New Roman" w:cs="Times New Roman"/>
                      <w:b/>
                      <w:color w:val="000000"/>
                    </w:rPr>
                  </w:pPr>
                  <w:r w:rsidRPr="00CF5B13">
                    <w:rPr>
                      <w:rFonts w:ascii="Times New Roman" w:eastAsia="Times New Roman" w:hAnsi="Times New Roman" w:cs="Times New Roman"/>
                      <w:b/>
                      <w:color w:val="000000"/>
                    </w:rPr>
                    <w:t>celkem studenti</w:t>
                  </w:r>
                </w:p>
                <w:p w:rsidR="00131DEF" w:rsidRPr="00CF5B13" w:rsidRDefault="00131DEF" w:rsidP="00131DEF">
                  <w:pPr>
                    <w:widowControl w:val="0"/>
                    <w:spacing w:after="0" w:line="240" w:lineRule="auto"/>
                    <w:rPr>
                      <w:rFonts w:ascii="Times New Roman" w:eastAsia="Times New Roman" w:hAnsi="Times New Roman" w:cs="Times New Roman"/>
                      <w:b/>
                      <w:color w:val="000000"/>
                    </w:rPr>
                  </w:pPr>
                </w:p>
              </w:tc>
            </w:tr>
            <w:tr w:rsidR="00131DEF" w:rsidRPr="00CF5B13" w:rsidTr="00F34662">
              <w:trPr>
                <w:trHeight w:val="315"/>
              </w:trPr>
              <w:tc>
                <w:tcPr>
                  <w:tcW w:w="1266" w:type="dxa"/>
                  <w:tcBorders>
                    <w:top w:val="nil"/>
                    <w:left w:val="single" w:sz="8" w:space="0" w:color="auto"/>
                    <w:bottom w:val="double" w:sz="6" w:space="0" w:color="auto"/>
                    <w:right w:val="single" w:sz="8" w:space="0" w:color="auto"/>
                  </w:tcBorders>
                  <w:shd w:val="clear" w:color="auto" w:fill="auto"/>
                  <w:vAlign w:val="center"/>
                  <w:hideMark/>
                </w:tcPr>
                <w:p w:rsidR="00131DEF" w:rsidRPr="00CF5B13" w:rsidRDefault="00131DEF" w:rsidP="00131DEF">
                  <w:pPr>
                    <w:spacing w:after="0" w:line="240" w:lineRule="auto"/>
                    <w:jc w:val="center"/>
                    <w:rPr>
                      <w:rFonts w:ascii="Times New Roman" w:eastAsia="Times New Roman" w:hAnsi="Times New Roman" w:cs="Times New Roman"/>
                      <w:color w:val="000000"/>
                    </w:rPr>
                  </w:pPr>
                  <w:r w:rsidRPr="00CF5B13">
                    <w:rPr>
                      <w:rFonts w:ascii="Times New Roman" w:eastAsia="Times New Roman" w:hAnsi="Times New Roman" w:cs="Times New Roman"/>
                      <w:color w:val="000000"/>
                    </w:rPr>
                    <w:t>muži</w:t>
                  </w:r>
                </w:p>
              </w:tc>
              <w:tc>
                <w:tcPr>
                  <w:tcW w:w="1418" w:type="dxa"/>
                  <w:tcBorders>
                    <w:top w:val="nil"/>
                    <w:left w:val="nil"/>
                    <w:bottom w:val="double" w:sz="6" w:space="0" w:color="auto"/>
                    <w:right w:val="single" w:sz="8" w:space="0" w:color="auto"/>
                  </w:tcBorders>
                  <w:shd w:val="clear" w:color="auto" w:fill="auto"/>
                  <w:vAlign w:val="center"/>
                  <w:hideMark/>
                </w:tcPr>
                <w:p w:rsidR="00131DEF" w:rsidRPr="00CF5B13" w:rsidRDefault="00131DEF" w:rsidP="00131DEF">
                  <w:pPr>
                    <w:spacing w:after="0" w:line="240" w:lineRule="auto"/>
                    <w:jc w:val="center"/>
                    <w:rPr>
                      <w:rFonts w:ascii="Times New Roman" w:eastAsia="Times New Roman" w:hAnsi="Times New Roman" w:cs="Times New Roman"/>
                      <w:color w:val="000000"/>
                    </w:rPr>
                  </w:pPr>
                  <w:r w:rsidRPr="00CF5B13">
                    <w:rPr>
                      <w:rFonts w:ascii="Times New Roman" w:eastAsia="Times New Roman" w:hAnsi="Times New Roman" w:cs="Times New Roman"/>
                      <w:color w:val="000000"/>
                    </w:rPr>
                    <w:t>ženy</w:t>
                  </w:r>
                </w:p>
              </w:tc>
              <w:tc>
                <w:tcPr>
                  <w:tcW w:w="1275" w:type="dxa"/>
                  <w:tcBorders>
                    <w:top w:val="nil"/>
                    <w:left w:val="nil"/>
                    <w:bottom w:val="double" w:sz="6" w:space="0" w:color="auto"/>
                    <w:right w:val="single" w:sz="8" w:space="0" w:color="auto"/>
                  </w:tcBorders>
                  <w:shd w:val="clear" w:color="auto" w:fill="auto"/>
                  <w:vAlign w:val="center"/>
                  <w:hideMark/>
                </w:tcPr>
                <w:p w:rsidR="00131DEF" w:rsidRPr="00CF5B13" w:rsidRDefault="00131DEF" w:rsidP="00131DEF">
                  <w:pPr>
                    <w:spacing w:after="0" w:line="240" w:lineRule="auto"/>
                    <w:jc w:val="center"/>
                    <w:rPr>
                      <w:rFonts w:ascii="Times New Roman" w:eastAsia="Times New Roman" w:hAnsi="Times New Roman" w:cs="Times New Roman"/>
                      <w:color w:val="000000"/>
                    </w:rPr>
                  </w:pPr>
                  <w:r w:rsidRPr="00CF5B13">
                    <w:rPr>
                      <w:rFonts w:ascii="Times New Roman" w:eastAsia="Times New Roman" w:hAnsi="Times New Roman" w:cs="Times New Roman"/>
                      <w:color w:val="000000"/>
                    </w:rPr>
                    <w:t>muži</w:t>
                  </w:r>
                </w:p>
              </w:tc>
              <w:tc>
                <w:tcPr>
                  <w:tcW w:w="1276" w:type="dxa"/>
                  <w:tcBorders>
                    <w:top w:val="nil"/>
                    <w:left w:val="nil"/>
                    <w:bottom w:val="double" w:sz="6" w:space="0" w:color="auto"/>
                    <w:right w:val="single" w:sz="4" w:space="0" w:color="auto"/>
                  </w:tcBorders>
                  <w:shd w:val="clear" w:color="auto" w:fill="auto"/>
                  <w:vAlign w:val="center"/>
                  <w:hideMark/>
                </w:tcPr>
                <w:p w:rsidR="00131DEF" w:rsidRPr="00CF5B13" w:rsidRDefault="00131DEF" w:rsidP="00131DEF">
                  <w:pPr>
                    <w:spacing w:after="0" w:line="240" w:lineRule="auto"/>
                    <w:jc w:val="center"/>
                    <w:rPr>
                      <w:rFonts w:ascii="Times New Roman" w:eastAsia="Times New Roman" w:hAnsi="Times New Roman" w:cs="Times New Roman"/>
                      <w:color w:val="000000"/>
                    </w:rPr>
                  </w:pPr>
                  <w:r w:rsidRPr="00CF5B13">
                    <w:rPr>
                      <w:rFonts w:ascii="Times New Roman" w:eastAsia="Times New Roman" w:hAnsi="Times New Roman" w:cs="Times New Roman"/>
                      <w:color w:val="000000"/>
                    </w:rPr>
                    <w:t>ženy</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1DEF" w:rsidRPr="00CF5B13" w:rsidRDefault="00131DEF" w:rsidP="00131DEF">
                  <w:pPr>
                    <w:spacing w:after="0" w:line="240" w:lineRule="auto"/>
                    <w:jc w:val="center"/>
                    <w:rPr>
                      <w:rFonts w:ascii="Times New Roman" w:eastAsia="Times New Roman" w:hAnsi="Times New Roman" w:cs="Times New Roman"/>
                      <w:color w:val="000000"/>
                    </w:rPr>
                  </w:pPr>
                  <w:r w:rsidRPr="00CF5B13">
                    <w:rPr>
                      <w:rFonts w:ascii="Times New Roman" w:eastAsia="Times New Roman" w:hAnsi="Times New Roman" w:cs="Times New Roman"/>
                      <w:color w:val="000000"/>
                    </w:rPr>
                    <w:t>muži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1DEF" w:rsidRPr="00CF5B13" w:rsidRDefault="00131DEF" w:rsidP="00131DEF">
                  <w:pPr>
                    <w:spacing w:after="0" w:line="240" w:lineRule="auto"/>
                    <w:jc w:val="center"/>
                    <w:rPr>
                      <w:rFonts w:ascii="Times New Roman" w:eastAsia="Times New Roman" w:hAnsi="Times New Roman" w:cs="Times New Roman"/>
                      <w:color w:val="000000"/>
                    </w:rPr>
                  </w:pPr>
                  <w:r w:rsidRPr="00CF5B13">
                    <w:rPr>
                      <w:rFonts w:ascii="Times New Roman" w:eastAsia="Times New Roman" w:hAnsi="Times New Roman" w:cs="Times New Roman"/>
                      <w:color w:val="000000"/>
                    </w:rPr>
                    <w:t>ženy</w:t>
                  </w:r>
                </w:p>
              </w:tc>
            </w:tr>
            <w:tr w:rsidR="00131DEF" w:rsidRPr="00CF5B13" w:rsidTr="00F34662">
              <w:trPr>
                <w:trHeight w:val="330"/>
              </w:trPr>
              <w:tc>
                <w:tcPr>
                  <w:tcW w:w="1266" w:type="dxa"/>
                  <w:tcBorders>
                    <w:top w:val="nil"/>
                    <w:left w:val="single" w:sz="8" w:space="0" w:color="auto"/>
                    <w:bottom w:val="single" w:sz="4" w:space="0" w:color="auto"/>
                    <w:right w:val="single" w:sz="8" w:space="0" w:color="auto"/>
                  </w:tcBorders>
                  <w:shd w:val="clear" w:color="auto" w:fill="auto"/>
                  <w:vAlign w:val="center"/>
                </w:tcPr>
                <w:p w:rsidR="00131DEF" w:rsidRPr="00CF5B13" w:rsidRDefault="00131DEF" w:rsidP="00131DEF">
                  <w:pPr>
                    <w:spacing w:after="0" w:line="240" w:lineRule="auto"/>
                    <w:jc w:val="center"/>
                    <w:rPr>
                      <w:rFonts w:ascii="Times New Roman" w:eastAsia="Times New Roman" w:hAnsi="Times New Roman" w:cs="Times New Roman"/>
                      <w:color w:val="000000"/>
                    </w:rPr>
                  </w:pPr>
                  <w:r w:rsidRPr="00CF5B13">
                    <w:rPr>
                      <w:rFonts w:ascii="Times New Roman" w:eastAsia="Times New Roman" w:hAnsi="Times New Roman" w:cs="Times New Roman"/>
                      <w:color w:val="000000"/>
                    </w:rPr>
                    <w:lastRenderedPageBreak/>
                    <w:t>997</w:t>
                  </w:r>
                </w:p>
              </w:tc>
              <w:tc>
                <w:tcPr>
                  <w:tcW w:w="1418" w:type="dxa"/>
                  <w:tcBorders>
                    <w:top w:val="nil"/>
                    <w:left w:val="nil"/>
                    <w:bottom w:val="single" w:sz="4" w:space="0" w:color="auto"/>
                    <w:right w:val="single" w:sz="8" w:space="0" w:color="auto"/>
                  </w:tcBorders>
                  <w:shd w:val="clear" w:color="auto" w:fill="auto"/>
                  <w:vAlign w:val="center"/>
                </w:tcPr>
                <w:p w:rsidR="00131DEF" w:rsidRPr="00CF5B13" w:rsidRDefault="00131DEF" w:rsidP="00131DEF">
                  <w:pPr>
                    <w:spacing w:after="0" w:line="240" w:lineRule="auto"/>
                    <w:jc w:val="center"/>
                    <w:rPr>
                      <w:rFonts w:ascii="Times New Roman" w:eastAsia="Times New Roman" w:hAnsi="Times New Roman" w:cs="Times New Roman"/>
                      <w:color w:val="000000"/>
                    </w:rPr>
                  </w:pPr>
                  <w:r w:rsidRPr="00CF5B13">
                    <w:rPr>
                      <w:rFonts w:ascii="Times New Roman" w:eastAsia="Times New Roman" w:hAnsi="Times New Roman" w:cs="Times New Roman"/>
                      <w:color w:val="000000"/>
                    </w:rPr>
                    <w:t>707</w:t>
                  </w:r>
                </w:p>
              </w:tc>
              <w:tc>
                <w:tcPr>
                  <w:tcW w:w="1275" w:type="dxa"/>
                  <w:tcBorders>
                    <w:top w:val="single" w:sz="4" w:space="0" w:color="auto"/>
                    <w:left w:val="nil"/>
                    <w:bottom w:val="single" w:sz="4" w:space="0" w:color="auto"/>
                    <w:right w:val="single" w:sz="8" w:space="0" w:color="auto"/>
                  </w:tcBorders>
                  <w:shd w:val="clear" w:color="auto" w:fill="auto"/>
                  <w:vAlign w:val="center"/>
                </w:tcPr>
                <w:p w:rsidR="00131DEF" w:rsidRPr="00CF5B13" w:rsidRDefault="00131DEF" w:rsidP="00131DEF">
                  <w:pPr>
                    <w:spacing w:after="0" w:line="240" w:lineRule="auto"/>
                    <w:jc w:val="center"/>
                    <w:rPr>
                      <w:rFonts w:ascii="Times New Roman" w:eastAsia="Times New Roman" w:hAnsi="Times New Roman" w:cs="Times New Roman"/>
                      <w:color w:val="000000"/>
                    </w:rPr>
                  </w:pPr>
                  <w:r w:rsidRPr="00CF5B13">
                    <w:rPr>
                      <w:rFonts w:ascii="Times New Roman" w:eastAsia="Times New Roman" w:hAnsi="Times New Roman" w:cs="Times New Roman"/>
                      <w:color w:val="000000"/>
                    </w:rPr>
                    <w:t>673</w:t>
                  </w:r>
                </w:p>
              </w:tc>
              <w:tc>
                <w:tcPr>
                  <w:tcW w:w="1276" w:type="dxa"/>
                  <w:tcBorders>
                    <w:top w:val="single" w:sz="4" w:space="0" w:color="auto"/>
                    <w:left w:val="nil"/>
                    <w:bottom w:val="single" w:sz="4" w:space="0" w:color="auto"/>
                    <w:right w:val="single" w:sz="8" w:space="0" w:color="auto"/>
                  </w:tcBorders>
                  <w:shd w:val="clear" w:color="auto" w:fill="auto"/>
                  <w:vAlign w:val="center"/>
                </w:tcPr>
                <w:p w:rsidR="00131DEF" w:rsidRPr="00CF5B13" w:rsidRDefault="00131DEF" w:rsidP="00131DEF">
                  <w:pPr>
                    <w:spacing w:after="0" w:line="240" w:lineRule="auto"/>
                    <w:jc w:val="center"/>
                    <w:rPr>
                      <w:rFonts w:ascii="Times New Roman" w:eastAsia="Times New Roman" w:hAnsi="Times New Roman" w:cs="Times New Roman"/>
                      <w:color w:val="000000"/>
                    </w:rPr>
                  </w:pPr>
                  <w:r w:rsidRPr="00CF5B13">
                    <w:rPr>
                      <w:rFonts w:ascii="Times New Roman" w:eastAsia="Times New Roman" w:hAnsi="Times New Roman" w:cs="Times New Roman"/>
                      <w:color w:val="000000"/>
                    </w:rPr>
                    <w:t>402</w:t>
                  </w:r>
                </w:p>
              </w:tc>
              <w:tc>
                <w:tcPr>
                  <w:tcW w:w="1276" w:type="dxa"/>
                  <w:tcBorders>
                    <w:top w:val="single" w:sz="4" w:space="0" w:color="auto"/>
                    <w:left w:val="nil"/>
                    <w:bottom w:val="single" w:sz="4" w:space="0" w:color="auto"/>
                    <w:right w:val="single" w:sz="8" w:space="0" w:color="auto"/>
                  </w:tcBorders>
                  <w:shd w:val="clear" w:color="auto" w:fill="auto"/>
                  <w:vAlign w:val="center"/>
                </w:tcPr>
                <w:p w:rsidR="00131DEF" w:rsidRPr="00CF5B13" w:rsidRDefault="00131DEF" w:rsidP="00131DEF">
                  <w:pPr>
                    <w:spacing w:after="0" w:line="240" w:lineRule="auto"/>
                    <w:jc w:val="center"/>
                    <w:rPr>
                      <w:rFonts w:ascii="Times New Roman" w:eastAsia="Times New Roman" w:hAnsi="Times New Roman" w:cs="Times New Roman"/>
                      <w:color w:val="000000"/>
                    </w:rPr>
                  </w:pPr>
                  <w:r w:rsidRPr="00CF5B13">
                    <w:rPr>
                      <w:rFonts w:ascii="Times New Roman" w:eastAsia="Times New Roman" w:hAnsi="Times New Roman" w:cs="Times New Roman"/>
                      <w:color w:val="000000"/>
                    </w:rPr>
                    <w:t>1 386</w:t>
                  </w:r>
                </w:p>
              </w:tc>
              <w:tc>
                <w:tcPr>
                  <w:tcW w:w="1843" w:type="dxa"/>
                  <w:tcBorders>
                    <w:top w:val="single" w:sz="4" w:space="0" w:color="auto"/>
                    <w:left w:val="nil"/>
                    <w:bottom w:val="single" w:sz="4" w:space="0" w:color="auto"/>
                    <w:right w:val="single" w:sz="8" w:space="0" w:color="auto"/>
                  </w:tcBorders>
                  <w:shd w:val="clear" w:color="auto" w:fill="auto"/>
                  <w:vAlign w:val="center"/>
                </w:tcPr>
                <w:p w:rsidR="00131DEF" w:rsidRPr="00CF5B13" w:rsidRDefault="00131DEF" w:rsidP="00131DEF">
                  <w:pPr>
                    <w:spacing w:after="0" w:line="240" w:lineRule="auto"/>
                    <w:jc w:val="center"/>
                    <w:rPr>
                      <w:rFonts w:ascii="Times New Roman" w:eastAsia="Times New Roman" w:hAnsi="Times New Roman" w:cs="Times New Roman"/>
                      <w:color w:val="000000"/>
                    </w:rPr>
                  </w:pPr>
                  <w:r w:rsidRPr="00CF5B13">
                    <w:rPr>
                      <w:rFonts w:ascii="Times New Roman" w:eastAsia="Times New Roman" w:hAnsi="Times New Roman" w:cs="Times New Roman"/>
                      <w:color w:val="000000"/>
                    </w:rPr>
                    <w:t>942</w:t>
                  </w:r>
                </w:p>
              </w:tc>
            </w:tr>
            <w:tr w:rsidR="00131DEF" w:rsidRPr="00CF5B13" w:rsidTr="00F34662">
              <w:trPr>
                <w:trHeight w:val="330"/>
              </w:trPr>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131DEF" w:rsidRPr="00CF5B13" w:rsidRDefault="00131DEF" w:rsidP="00131DEF">
                  <w:pPr>
                    <w:spacing w:after="0" w:line="240" w:lineRule="auto"/>
                    <w:jc w:val="center"/>
                    <w:rPr>
                      <w:rFonts w:ascii="Times New Roman" w:eastAsia="Times New Roman"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1DEF" w:rsidRPr="00CF5B13" w:rsidRDefault="00131DEF" w:rsidP="00131DEF">
                  <w:pPr>
                    <w:spacing w:after="0" w:line="240" w:lineRule="auto"/>
                    <w:jc w:val="center"/>
                    <w:rPr>
                      <w:rFonts w:ascii="Times New Roman" w:eastAsia="Times New Roman" w:hAnsi="Times New Roman" w:cs="Times New Roman"/>
                      <w:color w:val="000000"/>
                    </w:rPr>
                  </w:pPr>
                </w:p>
              </w:tc>
              <w:tc>
                <w:tcPr>
                  <w:tcW w:w="1275" w:type="dxa"/>
                  <w:tcBorders>
                    <w:top w:val="single" w:sz="4" w:space="0" w:color="auto"/>
                    <w:left w:val="single" w:sz="4" w:space="0" w:color="auto"/>
                    <w:bottom w:val="single" w:sz="8" w:space="0" w:color="auto"/>
                    <w:right w:val="single" w:sz="8" w:space="0" w:color="auto"/>
                  </w:tcBorders>
                  <w:shd w:val="clear" w:color="auto" w:fill="auto"/>
                  <w:vAlign w:val="center"/>
                </w:tcPr>
                <w:p w:rsidR="00131DEF" w:rsidRPr="00CF5B13" w:rsidRDefault="00131DEF" w:rsidP="00131DEF">
                  <w:pPr>
                    <w:spacing w:after="0" w:line="240" w:lineRule="auto"/>
                    <w:jc w:val="center"/>
                    <w:rPr>
                      <w:rFonts w:ascii="Times New Roman" w:eastAsia="Times New Roman" w:hAnsi="Times New Roman" w:cs="Times New Roman"/>
                      <w:color w:val="000000"/>
                    </w:rPr>
                  </w:pPr>
                  <w:r w:rsidRPr="00CF5B13">
                    <w:rPr>
                      <w:rFonts w:ascii="Times New Roman" w:eastAsia="Times New Roman" w:hAnsi="Times New Roman" w:cs="Times New Roman"/>
                      <w:color w:val="000000"/>
                    </w:rPr>
                    <w:t>62, 6 %</w:t>
                  </w:r>
                </w:p>
              </w:tc>
              <w:tc>
                <w:tcPr>
                  <w:tcW w:w="1276" w:type="dxa"/>
                  <w:tcBorders>
                    <w:top w:val="single" w:sz="4" w:space="0" w:color="auto"/>
                    <w:left w:val="nil"/>
                    <w:bottom w:val="single" w:sz="8" w:space="0" w:color="auto"/>
                    <w:right w:val="single" w:sz="8" w:space="0" w:color="auto"/>
                  </w:tcBorders>
                  <w:shd w:val="clear" w:color="auto" w:fill="auto"/>
                  <w:vAlign w:val="center"/>
                </w:tcPr>
                <w:p w:rsidR="00131DEF" w:rsidRPr="00CF5B13" w:rsidRDefault="00131DEF" w:rsidP="00131DEF">
                  <w:pPr>
                    <w:spacing w:after="0" w:line="240" w:lineRule="auto"/>
                    <w:jc w:val="center"/>
                    <w:rPr>
                      <w:rFonts w:ascii="Times New Roman" w:eastAsia="Times New Roman" w:hAnsi="Times New Roman" w:cs="Times New Roman"/>
                      <w:color w:val="000000"/>
                    </w:rPr>
                  </w:pPr>
                  <w:r w:rsidRPr="00CF5B13">
                    <w:rPr>
                      <w:rFonts w:ascii="Times New Roman" w:eastAsia="Times New Roman" w:hAnsi="Times New Roman" w:cs="Times New Roman"/>
                      <w:color w:val="000000"/>
                    </w:rPr>
                    <w:t>37, 4 %</w:t>
                  </w:r>
                </w:p>
              </w:tc>
              <w:tc>
                <w:tcPr>
                  <w:tcW w:w="1276" w:type="dxa"/>
                  <w:tcBorders>
                    <w:top w:val="single" w:sz="4" w:space="0" w:color="auto"/>
                    <w:left w:val="nil"/>
                    <w:bottom w:val="single" w:sz="8" w:space="0" w:color="auto"/>
                    <w:right w:val="single" w:sz="8" w:space="0" w:color="auto"/>
                  </w:tcBorders>
                  <w:shd w:val="clear" w:color="auto" w:fill="auto"/>
                  <w:vAlign w:val="center"/>
                </w:tcPr>
                <w:p w:rsidR="00131DEF" w:rsidRPr="00CF5B13" w:rsidRDefault="00131DEF" w:rsidP="00131DEF">
                  <w:pPr>
                    <w:spacing w:after="0" w:line="240" w:lineRule="auto"/>
                    <w:jc w:val="center"/>
                    <w:rPr>
                      <w:rFonts w:ascii="Times New Roman" w:eastAsia="Times New Roman" w:hAnsi="Times New Roman" w:cs="Times New Roman"/>
                      <w:color w:val="000000"/>
                    </w:rPr>
                  </w:pPr>
                  <w:r w:rsidRPr="00CF5B13">
                    <w:rPr>
                      <w:rFonts w:ascii="Times New Roman" w:eastAsia="Times New Roman" w:hAnsi="Times New Roman" w:cs="Times New Roman"/>
                      <w:color w:val="000000"/>
                    </w:rPr>
                    <w:t>59, 5 %</w:t>
                  </w:r>
                </w:p>
              </w:tc>
              <w:tc>
                <w:tcPr>
                  <w:tcW w:w="1843" w:type="dxa"/>
                  <w:tcBorders>
                    <w:top w:val="single" w:sz="4" w:space="0" w:color="auto"/>
                    <w:left w:val="nil"/>
                    <w:bottom w:val="single" w:sz="8" w:space="0" w:color="auto"/>
                    <w:right w:val="single" w:sz="8" w:space="0" w:color="auto"/>
                  </w:tcBorders>
                  <w:shd w:val="clear" w:color="auto" w:fill="auto"/>
                  <w:vAlign w:val="center"/>
                </w:tcPr>
                <w:p w:rsidR="00131DEF" w:rsidRPr="00CF5B13" w:rsidRDefault="00131DEF" w:rsidP="00131DEF">
                  <w:pPr>
                    <w:spacing w:after="0" w:line="240" w:lineRule="auto"/>
                    <w:jc w:val="center"/>
                    <w:rPr>
                      <w:rFonts w:ascii="Times New Roman" w:eastAsia="Times New Roman" w:hAnsi="Times New Roman" w:cs="Times New Roman"/>
                      <w:color w:val="000000"/>
                    </w:rPr>
                  </w:pPr>
                  <w:r w:rsidRPr="00CF5B13">
                    <w:rPr>
                      <w:rFonts w:ascii="Times New Roman" w:eastAsia="Times New Roman" w:hAnsi="Times New Roman" w:cs="Times New Roman"/>
                      <w:color w:val="000000"/>
                    </w:rPr>
                    <w:t>40, 5 %</w:t>
                  </w:r>
                </w:p>
              </w:tc>
            </w:tr>
          </w:tbl>
          <w:p w:rsidR="004474CA" w:rsidRPr="00CF5B13" w:rsidRDefault="004474CA" w:rsidP="00D3673A">
            <w:pPr>
              <w:jc w:val="both"/>
              <w:rPr>
                <w:rFonts w:ascii="Times New Roman" w:eastAsia="Times New Roman" w:hAnsi="Times New Roman" w:cs="Times New Roman"/>
                <w:b/>
                <w:sz w:val="24"/>
                <w:szCs w:val="24"/>
                <w:u w:val="single"/>
                <w:lang w:val="cs-CZ"/>
              </w:rPr>
            </w:pPr>
          </w:p>
          <w:p w:rsidR="00D3673A" w:rsidRPr="00CF5B13" w:rsidRDefault="00D3673A" w:rsidP="003C620E">
            <w:pPr>
              <w:pStyle w:val="Odstavecseseznamem"/>
              <w:numPr>
                <w:ilvl w:val="0"/>
                <w:numId w:val="2"/>
              </w:numPr>
              <w:ind w:left="0"/>
              <w:jc w:val="both"/>
              <w:rPr>
                <w:rFonts w:ascii="Times New Roman" w:eastAsia="Times New Roman" w:hAnsi="Times New Roman" w:cs="Times New Roman"/>
                <w:b/>
                <w:sz w:val="24"/>
                <w:szCs w:val="24"/>
                <w:u w:val="single"/>
                <w:lang w:val="cs-CZ"/>
              </w:rPr>
            </w:pPr>
            <w:r w:rsidRPr="00CF5B13">
              <w:rPr>
                <w:rFonts w:ascii="Times New Roman" w:eastAsia="Times New Roman" w:hAnsi="Times New Roman" w:cs="Times New Roman"/>
                <w:b/>
                <w:sz w:val="24"/>
                <w:szCs w:val="24"/>
                <w:lang w:val="cs-CZ"/>
              </w:rPr>
              <w:t xml:space="preserve">     II.         </w:t>
            </w:r>
            <w:r w:rsidRPr="00CF5B13">
              <w:rPr>
                <w:rFonts w:ascii="Times New Roman" w:eastAsia="Times New Roman" w:hAnsi="Times New Roman" w:cs="Times New Roman"/>
                <w:b/>
                <w:sz w:val="24"/>
                <w:szCs w:val="24"/>
                <w:u w:val="single"/>
                <w:lang w:val="cs-CZ"/>
              </w:rPr>
              <w:t>Ministerstvo obrany</w:t>
            </w:r>
          </w:p>
          <w:p w:rsidR="00D3673A" w:rsidRPr="00CF5B13" w:rsidRDefault="00D3673A" w:rsidP="00D3673A">
            <w:pPr>
              <w:pStyle w:val="Odstavecseseznamem"/>
              <w:rPr>
                <w:rFonts w:ascii="Times New Roman" w:eastAsia="Times New Roman" w:hAnsi="Times New Roman" w:cs="Times New Roman"/>
                <w:b/>
                <w:sz w:val="24"/>
                <w:szCs w:val="24"/>
                <w:u w:val="single"/>
                <w:lang w:val="cs-CZ"/>
              </w:rPr>
            </w:pPr>
          </w:p>
          <w:p w:rsidR="006B0720" w:rsidRPr="00CF5B13" w:rsidRDefault="006B0720" w:rsidP="006B0720">
            <w:pPr>
              <w:jc w:val="both"/>
              <w:rPr>
                <w:rFonts w:ascii="Times New Roman" w:hAnsi="Times New Roman" w:cs="Times New Roman"/>
                <w:noProof/>
                <w:sz w:val="24"/>
                <w:szCs w:val="24"/>
                <w:lang w:val="cs-CZ" w:eastAsia="cs-CZ"/>
              </w:rPr>
            </w:pPr>
            <w:r w:rsidRPr="00CF5B13">
              <w:rPr>
                <w:rFonts w:ascii="Times New Roman" w:hAnsi="Times New Roman" w:cs="Times New Roman"/>
                <w:noProof/>
                <w:sz w:val="24"/>
                <w:szCs w:val="24"/>
                <w:lang w:val="cs-CZ" w:eastAsia="cs-CZ"/>
              </w:rPr>
              <w:t xml:space="preserve">                                     VSŠ VOŠ Moravská Třebová a Univerzita obrany v Brně: </w:t>
            </w:r>
          </w:p>
          <w:p w:rsidR="006B0720" w:rsidRPr="00CF5B13" w:rsidRDefault="006B0720" w:rsidP="006B0720">
            <w:pPr>
              <w:jc w:val="center"/>
              <w:rPr>
                <w:rFonts w:ascii="Times New Roman" w:hAnsi="Times New Roman" w:cs="Times New Roman"/>
                <w:sz w:val="24"/>
                <w:szCs w:val="24"/>
                <w:lang w:val="cs-CZ"/>
              </w:rPr>
            </w:pPr>
            <w:r w:rsidRPr="00CF5B13">
              <w:rPr>
                <w:noProof/>
                <w:lang w:val="cs-CZ" w:eastAsia="cs-CZ"/>
              </w:rPr>
              <w:drawing>
                <wp:inline distT="0" distB="0" distL="0" distR="0" wp14:anchorId="0DF1C7ED" wp14:editId="0F8F7F48">
                  <wp:extent cx="4572000" cy="2339340"/>
                  <wp:effectExtent l="0" t="0" r="0" b="3810"/>
                  <wp:docPr id="7" name="Graf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B0720" w:rsidRPr="00CF5B13" w:rsidRDefault="006B0720" w:rsidP="006B0720">
            <w:pPr>
              <w:pStyle w:val="Odstavecseseznamem"/>
              <w:ind w:left="0"/>
              <w:jc w:val="both"/>
              <w:rPr>
                <w:rFonts w:ascii="Times New Roman" w:eastAsia="Times New Roman" w:hAnsi="Times New Roman" w:cs="Times New Roman"/>
                <w:sz w:val="24"/>
                <w:szCs w:val="24"/>
                <w:lang w:val="cs-CZ"/>
              </w:rPr>
            </w:pPr>
          </w:p>
          <w:p w:rsidR="006B0720" w:rsidRPr="00CF5B13" w:rsidRDefault="006B0720" w:rsidP="006B0720">
            <w:pPr>
              <w:pStyle w:val="Odstavecseseznamem"/>
              <w:ind w:left="0"/>
              <w:jc w:val="both"/>
              <w:rPr>
                <w:rFonts w:ascii="Times New Roman" w:eastAsia="Times New Roman" w:hAnsi="Times New Roman" w:cs="Times New Roman"/>
                <w:sz w:val="24"/>
                <w:szCs w:val="24"/>
                <w:lang w:val="cs-CZ"/>
              </w:rPr>
            </w:pPr>
            <w:r w:rsidRPr="00CF5B13">
              <w:rPr>
                <w:rFonts w:ascii="Times New Roman" w:eastAsia="Times New Roman" w:hAnsi="Times New Roman" w:cs="Times New Roman"/>
                <w:sz w:val="24"/>
                <w:szCs w:val="24"/>
                <w:lang w:val="cs-CZ"/>
              </w:rPr>
              <w:t xml:space="preserve">                              Univerzita obrany v Brně:</w:t>
            </w:r>
          </w:p>
          <w:p w:rsidR="00D3673A" w:rsidRPr="00CF5B13" w:rsidRDefault="00D3673A" w:rsidP="00D3673A">
            <w:pPr>
              <w:pStyle w:val="Odstavecseseznamem"/>
              <w:ind w:left="0"/>
              <w:jc w:val="center"/>
              <w:rPr>
                <w:noProof/>
                <w:lang w:val="cs-CZ" w:eastAsia="cs-CZ"/>
              </w:rPr>
            </w:pPr>
            <w:r w:rsidRPr="00CF5B13">
              <w:rPr>
                <w:noProof/>
                <w:lang w:val="cs-CZ" w:eastAsia="cs-CZ"/>
              </w:rPr>
              <w:drawing>
                <wp:inline distT="0" distB="0" distL="0" distR="0" wp14:anchorId="0F1298C5" wp14:editId="577B661A">
                  <wp:extent cx="3505200" cy="1981200"/>
                  <wp:effectExtent l="0" t="0" r="0" b="0"/>
                  <wp:docPr id="4" name="Graf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3673A" w:rsidRPr="00CF5B13" w:rsidRDefault="00D3673A" w:rsidP="00D3673A">
            <w:pPr>
              <w:pStyle w:val="Odstavecseseznamem"/>
              <w:ind w:left="0"/>
              <w:jc w:val="center"/>
              <w:rPr>
                <w:noProof/>
                <w:lang w:val="cs-CZ" w:eastAsia="cs-CZ"/>
              </w:rPr>
            </w:pPr>
          </w:p>
          <w:p w:rsidR="00D3673A" w:rsidRPr="00CF5B13" w:rsidRDefault="00D3673A" w:rsidP="00D3673A">
            <w:pPr>
              <w:jc w:val="center"/>
              <w:rPr>
                <w:rFonts w:ascii="Times New Roman" w:hAnsi="Times New Roman" w:cs="Times New Roman"/>
                <w:b/>
                <w:i/>
              </w:rPr>
            </w:pPr>
          </w:p>
          <w:p w:rsidR="00D3673A" w:rsidRPr="00CF5B13" w:rsidRDefault="00D3673A" w:rsidP="00D3673A">
            <w:pPr>
              <w:jc w:val="center"/>
              <w:rPr>
                <w:rFonts w:ascii="Times New Roman" w:hAnsi="Times New Roman" w:cs="Times New Roman"/>
                <w:b/>
                <w:i/>
                <w:lang w:val="pt-PT"/>
              </w:rPr>
            </w:pPr>
            <w:r w:rsidRPr="00CF5B13">
              <w:rPr>
                <w:rFonts w:ascii="Times New Roman" w:hAnsi="Times New Roman" w:cs="Times New Roman"/>
                <w:b/>
                <w:i/>
                <w:lang w:val="pt-PT"/>
              </w:rPr>
              <w:t>Absolutorium žen a mužů – UO Brno:</w:t>
            </w:r>
          </w:p>
          <w:p w:rsidR="00D3673A" w:rsidRPr="00CF5B13" w:rsidRDefault="00D3673A" w:rsidP="00D3673A">
            <w:pPr>
              <w:rPr>
                <w:rFonts w:ascii="Times New Roman" w:hAnsi="Times New Roman" w:cs="Times New Roman"/>
                <w:i/>
                <w:lang w:val="pt-PT"/>
              </w:rPr>
            </w:pPr>
            <w:r w:rsidRPr="00CF5B13">
              <w:rPr>
                <w:rFonts w:ascii="Times New Roman" w:hAnsi="Times New Roman" w:cs="Times New Roman"/>
                <w:i/>
                <w:lang w:val="pt-PT"/>
              </w:rPr>
              <w:t xml:space="preserve"> Akademický rok 2022/2023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2126"/>
            </w:tblGrid>
            <w:tr w:rsidR="00D3673A" w:rsidRPr="00412C4E" w:rsidTr="00CB76B0">
              <w:tc>
                <w:tcPr>
                  <w:tcW w:w="3652" w:type="dxa"/>
                  <w:shd w:val="clear" w:color="auto" w:fill="auto"/>
                </w:tcPr>
                <w:p w:rsidR="00D3673A" w:rsidRPr="00CF5B13" w:rsidRDefault="00D3673A" w:rsidP="00D3673A">
                  <w:pPr>
                    <w:rPr>
                      <w:lang w:val="pt-PT"/>
                    </w:rPr>
                  </w:pPr>
                  <w:r w:rsidRPr="00CF5B13">
                    <w:rPr>
                      <w:lang w:val="pt-PT"/>
                    </w:rPr>
                    <w:t>Celkem absolventů/absolventek</w:t>
                  </w:r>
                </w:p>
              </w:tc>
              <w:tc>
                <w:tcPr>
                  <w:tcW w:w="2126" w:type="dxa"/>
                  <w:shd w:val="clear" w:color="auto" w:fill="auto"/>
                </w:tcPr>
                <w:p w:rsidR="00D3673A" w:rsidRPr="00CF5B13" w:rsidRDefault="00D3673A" w:rsidP="00D3673A">
                  <w:pPr>
                    <w:rPr>
                      <w:rFonts w:ascii="Times New Roman" w:hAnsi="Times New Roman" w:cs="Times New Roman"/>
                      <w:lang w:val="pt-PT"/>
                    </w:rPr>
                  </w:pPr>
                  <w:r w:rsidRPr="00CF5B13">
                    <w:rPr>
                      <w:rFonts w:ascii="Times New Roman" w:hAnsi="Times New Roman" w:cs="Times New Roman"/>
                      <w:lang w:val="pt-PT"/>
                    </w:rPr>
                    <w:t>231</w:t>
                  </w:r>
                </w:p>
              </w:tc>
            </w:tr>
            <w:tr w:rsidR="00D3673A" w:rsidRPr="00412C4E" w:rsidTr="00CB76B0">
              <w:tc>
                <w:tcPr>
                  <w:tcW w:w="3652" w:type="dxa"/>
                  <w:shd w:val="clear" w:color="auto" w:fill="auto"/>
                </w:tcPr>
                <w:p w:rsidR="00D3673A" w:rsidRPr="00CF5B13" w:rsidRDefault="00D3673A" w:rsidP="00D3673A">
                  <w:pPr>
                    <w:rPr>
                      <w:rFonts w:ascii="Times New Roman" w:hAnsi="Times New Roman" w:cs="Times New Roman"/>
                      <w:b/>
                      <w:lang w:val="pt-PT"/>
                    </w:rPr>
                  </w:pPr>
                  <w:r w:rsidRPr="00CF5B13">
                    <w:rPr>
                      <w:rFonts w:ascii="Times New Roman" w:hAnsi="Times New Roman" w:cs="Times New Roman"/>
                      <w:b/>
                      <w:lang w:val="pt-PT"/>
                    </w:rPr>
                    <w:t>Z toho ženy</w:t>
                  </w:r>
                </w:p>
              </w:tc>
              <w:tc>
                <w:tcPr>
                  <w:tcW w:w="2126" w:type="dxa"/>
                  <w:shd w:val="clear" w:color="auto" w:fill="auto"/>
                </w:tcPr>
                <w:p w:rsidR="00D3673A" w:rsidRPr="00CF5B13" w:rsidRDefault="00D3673A" w:rsidP="00D3673A">
                  <w:pPr>
                    <w:rPr>
                      <w:rFonts w:ascii="Times New Roman" w:hAnsi="Times New Roman" w:cs="Times New Roman"/>
                      <w:b/>
                      <w:lang w:val="pt-PT"/>
                    </w:rPr>
                  </w:pPr>
                  <w:r w:rsidRPr="00CF5B13">
                    <w:rPr>
                      <w:rFonts w:ascii="Times New Roman" w:hAnsi="Times New Roman" w:cs="Times New Roman"/>
                      <w:b/>
                      <w:lang w:val="pt-PT"/>
                    </w:rPr>
                    <w:t>73 tj. ……… 32 %</w:t>
                  </w:r>
                </w:p>
              </w:tc>
            </w:tr>
          </w:tbl>
          <w:p w:rsidR="00D3673A" w:rsidRPr="00CF5B13" w:rsidRDefault="00D3673A" w:rsidP="00D3673A">
            <w:pPr>
              <w:rPr>
                <w:rFonts w:ascii="Times New Roman" w:hAnsi="Times New Roman" w:cs="Times New Roman"/>
                <w:i/>
                <w:lang w:val="pt-PT"/>
              </w:rPr>
            </w:pPr>
            <w:r w:rsidRPr="00CF5B13">
              <w:rPr>
                <w:rFonts w:ascii="Times New Roman" w:hAnsi="Times New Roman" w:cs="Times New Roman"/>
                <w:i/>
                <w:lang w:val="pt-PT"/>
              </w:rPr>
              <w:t xml:space="preserve"> </w:t>
            </w:r>
          </w:p>
          <w:p w:rsidR="00D3673A" w:rsidRPr="00CF5B13" w:rsidRDefault="00D3673A" w:rsidP="00D3673A">
            <w:pPr>
              <w:rPr>
                <w:rFonts w:ascii="Times New Roman" w:hAnsi="Times New Roman" w:cs="Times New Roman"/>
                <w:i/>
                <w:lang w:val="pt-PT"/>
              </w:rPr>
            </w:pPr>
            <w:r w:rsidRPr="00CF5B13">
              <w:rPr>
                <w:rFonts w:ascii="Times New Roman" w:hAnsi="Times New Roman" w:cs="Times New Roman"/>
                <w:i/>
                <w:lang w:val="pt-PT"/>
              </w:rPr>
              <w:t>Akademický rok 2021/2022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2126"/>
            </w:tblGrid>
            <w:tr w:rsidR="00D3673A" w:rsidRPr="00412C4E" w:rsidTr="00CB76B0">
              <w:tc>
                <w:tcPr>
                  <w:tcW w:w="3652" w:type="dxa"/>
                  <w:shd w:val="clear" w:color="auto" w:fill="auto"/>
                </w:tcPr>
                <w:p w:rsidR="00D3673A" w:rsidRPr="00CF5B13" w:rsidRDefault="00D3673A" w:rsidP="00D3673A">
                  <w:pPr>
                    <w:rPr>
                      <w:rFonts w:ascii="Times New Roman" w:hAnsi="Times New Roman" w:cs="Times New Roman"/>
                      <w:lang w:val="pt-PT"/>
                    </w:rPr>
                  </w:pPr>
                  <w:r w:rsidRPr="00CF5B13">
                    <w:rPr>
                      <w:rFonts w:ascii="Times New Roman" w:hAnsi="Times New Roman" w:cs="Times New Roman"/>
                      <w:lang w:val="pt-PT"/>
                    </w:rPr>
                    <w:t>Celkem absolventů/absolventek</w:t>
                  </w:r>
                </w:p>
              </w:tc>
              <w:tc>
                <w:tcPr>
                  <w:tcW w:w="2126" w:type="dxa"/>
                  <w:shd w:val="clear" w:color="auto" w:fill="auto"/>
                </w:tcPr>
                <w:p w:rsidR="00D3673A" w:rsidRPr="00CF5B13" w:rsidRDefault="00D3673A" w:rsidP="00D3673A">
                  <w:pPr>
                    <w:rPr>
                      <w:rFonts w:ascii="Times New Roman" w:hAnsi="Times New Roman" w:cs="Times New Roman"/>
                      <w:lang w:val="pt-PT"/>
                    </w:rPr>
                  </w:pPr>
                  <w:r w:rsidRPr="00CF5B13">
                    <w:rPr>
                      <w:rFonts w:ascii="Times New Roman" w:hAnsi="Times New Roman" w:cs="Times New Roman"/>
                      <w:lang w:val="pt-PT"/>
                    </w:rPr>
                    <w:t>260</w:t>
                  </w:r>
                </w:p>
              </w:tc>
            </w:tr>
            <w:tr w:rsidR="00D3673A" w:rsidRPr="00412C4E" w:rsidTr="00CB76B0">
              <w:tc>
                <w:tcPr>
                  <w:tcW w:w="3652" w:type="dxa"/>
                  <w:shd w:val="clear" w:color="auto" w:fill="auto"/>
                </w:tcPr>
                <w:p w:rsidR="00D3673A" w:rsidRPr="00CF5B13" w:rsidRDefault="00D3673A" w:rsidP="00D3673A">
                  <w:pPr>
                    <w:rPr>
                      <w:rFonts w:ascii="Times New Roman" w:hAnsi="Times New Roman" w:cs="Times New Roman"/>
                      <w:b/>
                      <w:lang w:val="pt-PT"/>
                    </w:rPr>
                  </w:pPr>
                  <w:r w:rsidRPr="00CF5B13">
                    <w:rPr>
                      <w:rFonts w:ascii="Times New Roman" w:hAnsi="Times New Roman" w:cs="Times New Roman"/>
                      <w:b/>
                      <w:lang w:val="pt-PT"/>
                    </w:rPr>
                    <w:t>Z toho ženy</w:t>
                  </w:r>
                </w:p>
              </w:tc>
              <w:tc>
                <w:tcPr>
                  <w:tcW w:w="2126" w:type="dxa"/>
                  <w:shd w:val="clear" w:color="auto" w:fill="auto"/>
                </w:tcPr>
                <w:p w:rsidR="00D3673A" w:rsidRPr="00CF5B13" w:rsidRDefault="00D3673A" w:rsidP="00D3673A">
                  <w:pPr>
                    <w:rPr>
                      <w:rFonts w:ascii="Times New Roman" w:hAnsi="Times New Roman" w:cs="Times New Roman"/>
                      <w:b/>
                      <w:lang w:val="pt-PT"/>
                    </w:rPr>
                  </w:pPr>
                  <w:r w:rsidRPr="00CF5B13">
                    <w:rPr>
                      <w:rFonts w:ascii="Times New Roman" w:hAnsi="Times New Roman" w:cs="Times New Roman"/>
                      <w:b/>
                      <w:lang w:val="pt-PT"/>
                    </w:rPr>
                    <w:t>60 tj. ……… 23 %</w:t>
                  </w:r>
                </w:p>
              </w:tc>
            </w:tr>
          </w:tbl>
          <w:p w:rsidR="00D3673A" w:rsidRPr="00CF5B13" w:rsidRDefault="00D3673A" w:rsidP="00D3673A">
            <w:pPr>
              <w:rPr>
                <w:i/>
                <w:u w:val="single"/>
                <w:lang w:val="pt-PT"/>
              </w:rPr>
            </w:pPr>
            <w:r w:rsidRPr="00CF5B13">
              <w:rPr>
                <w:i/>
                <w:sz w:val="20"/>
                <w:szCs w:val="20"/>
                <w:u w:val="single"/>
                <w:lang w:val="pt-PT"/>
              </w:rPr>
              <w:t xml:space="preserve">Poznámka: Ne všichni úspěšní uchazeči – ženy a muži – nastoupili ke studiu,  což se projevuje na  podílu studujících žen a </w:t>
            </w:r>
            <w:r w:rsidRPr="00CF5B13">
              <w:rPr>
                <w:i/>
                <w:sz w:val="20"/>
                <w:szCs w:val="20"/>
                <w:u w:val="single"/>
                <w:lang w:val="pt-PT"/>
              </w:rPr>
              <w:lastRenderedPageBreak/>
              <w:t>mužů</w:t>
            </w:r>
            <w:r w:rsidRPr="00CF5B13">
              <w:rPr>
                <w:i/>
                <w:u w:val="single"/>
                <w:lang w:val="pt-PT"/>
              </w:rPr>
              <w:t xml:space="preserve">. </w:t>
            </w:r>
          </w:p>
          <w:p w:rsidR="00D720AA" w:rsidRPr="00CF5B13" w:rsidRDefault="00D3673A" w:rsidP="00D3673A">
            <w:pPr>
              <w:rPr>
                <w:rFonts w:ascii="Times New Roman" w:hAnsi="Times New Roman" w:cs="Times New Roman"/>
                <w:sz w:val="24"/>
                <w:szCs w:val="24"/>
                <w:lang w:val="pt-PT"/>
              </w:rPr>
            </w:pPr>
            <w:r w:rsidRPr="00CF5B13">
              <w:rPr>
                <w:rFonts w:ascii="Times New Roman" w:hAnsi="Times New Roman" w:cs="Times New Roman"/>
                <w:sz w:val="24"/>
                <w:szCs w:val="24"/>
                <w:lang w:val="pt-PT"/>
              </w:rPr>
              <w:t xml:space="preserve">            </w:t>
            </w:r>
          </w:p>
          <w:p w:rsidR="00D3673A" w:rsidRPr="00CF5B13" w:rsidRDefault="00D3673A" w:rsidP="00D3673A">
            <w:pPr>
              <w:rPr>
                <w:rFonts w:ascii="Times New Roman" w:hAnsi="Times New Roman" w:cs="Times New Roman"/>
                <w:sz w:val="24"/>
                <w:szCs w:val="24"/>
                <w:lang w:val="pt-PT"/>
              </w:rPr>
            </w:pPr>
            <w:r w:rsidRPr="00CF5B13">
              <w:rPr>
                <w:rFonts w:ascii="Times New Roman" w:hAnsi="Times New Roman" w:cs="Times New Roman"/>
                <w:sz w:val="24"/>
                <w:szCs w:val="24"/>
                <w:lang w:val="pt-PT"/>
              </w:rPr>
              <w:t xml:space="preserve">                                </w:t>
            </w:r>
          </w:p>
          <w:p w:rsidR="00665F96" w:rsidRPr="00CF5B13" w:rsidRDefault="00665F96" w:rsidP="00D3673A">
            <w:pPr>
              <w:rPr>
                <w:rFonts w:ascii="Times New Roman" w:hAnsi="Times New Roman" w:cs="Times New Roman"/>
                <w:sz w:val="24"/>
                <w:szCs w:val="24"/>
                <w:lang w:val="pt-PT"/>
              </w:rPr>
            </w:pPr>
          </w:p>
          <w:p w:rsidR="00D3673A" w:rsidRPr="00CF5B13" w:rsidRDefault="00D3673A" w:rsidP="00D3673A">
            <w:pPr>
              <w:ind w:left="1773" w:hanging="1276"/>
              <w:rPr>
                <w:rFonts w:ascii="Times New Roman" w:hAnsi="Times New Roman" w:cs="Times New Roman"/>
                <w:lang w:val="pt-PT"/>
              </w:rPr>
            </w:pPr>
            <w:r w:rsidRPr="00CF5B13">
              <w:rPr>
                <w:rFonts w:ascii="Times New Roman" w:hAnsi="Times New Roman" w:cs="Times New Roman"/>
                <w:sz w:val="24"/>
                <w:szCs w:val="24"/>
                <w:lang w:val="pt-PT"/>
              </w:rPr>
              <w:t xml:space="preserve">                    </w:t>
            </w:r>
            <w:r w:rsidRPr="00CF5B13">
              <w:rPr>
                <w:rFonts w:ascii="Times New Roman" w:hAnsi="Times New Roman" w:cs="Times New Roman"/>
                <w:lang w:val="pt-PT"/>
              </w:rPr>
              <w:t xml:space="preserve">Vojenská střední a Vyšší odborná škola v Moravské Třebové </w:t>
            </w:r>
          </w:p>
          <w:p w:rsidR="00D3673A" w:rsidRPr="00CF5B13" w:rsidRDefault="00D3673A" w:rsidP="00BC582C">
            <w:pPr>
              <w:spacing w:after="120"/>
              <w:ind w:left="1773" w:hanging="142"/>
              <w:rPr>
                <w:rFonts w:ascii="Times New Roman" w:hAnsi="Times New Roman" w:cs="Times New Roman"/>
                <w:sz w:val="24"/>
                <w:szCs w:val="24"/>
                <w:lang w:val="de-DE"/>
              </w:rPr>
            </w:pPr>
            <w:r w:rsidRPr="00CF5B13">
              <w:rPr>
                <w:rFonts w:ascii="Times New Roman" w:hAnsi="Times New Roman" w:cs="Times New Roman"/>
                <w:lang w:val="pt-PT"/>
              </w:rPr>
              <w:t xml:space="preserve"> </w:t>
            </w:r>
            <w:r w:rsidRPr="00CF5B13">
              <w:rPr>
                <w:rFonts w:ascii="Times New Roman" w:hAnsi="Times New Roman" w:cs="Times New Roman"/>
                <w:lang w:val="de-DE"/>
              </w:rPr>
              <w:t>(obor Vojenské lyceum, Elektrotechnika, Strojírenství):</w:t>
            </w:r>
            <w:r w:rsidRPr="00CF5B13">
              <w:rPr>
                <w:rFonts w:ascii="Times New Roman" w:hAnsi="Times New Roman" w:cs="Times New Roman"/>
                <w:sz w:val="24"/>
                <w:szCs w:val="24"/>
                <w:lang w:val="de-DE"/>
              </w:rPr>
              <w:t xml:space="preserve"> </w:t>
            </w:r>
          </w:p>
          <w:p w:rsidR="00D3673A" w:rsidRPr="00CF5B13" w:rsidRDefault="00D3673A" w:rsidP="00D3673A">
            <w:pPr>
              <w:jc w:val="center"/>
              <w:rPr>
                <w:b/>
              </w:rPr>
            </w:pPr>
            <w:r w:rsidRPr="00CF5B13">
              <w:rPr>
                <w:noProof/>
                <w:lang w:val="cs-CZ" w:eastAsia="cs-CZ"/>
              </w:rPr>
              <w:drawing>
                <wp:inline distT="0" distB="0" distL="0" distR="0" wp14:anchorId="0E38BE72" wp14:editId="31EECEE4">
                  <wp:extent cx="4261485" cy="2659380"/>
                  <wp:effectExtent l="0" t="0" r="5715" b="7620"/>
                  <wp:docPr id="8" name="Graf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3673A" w:rsidRPr="00CF5B13" w:rsidRDefault="00D3673A" w:rsidP="00D3673A">
            <w:pPr>
              <w:rPr>
                <w:i/>
                <w:u w:val="single"/>
              </w:rPr>
            </w:pPr>
          </w:p>
          <w:p w:rsidR="00D3673A" w:rsidRPr="00CF5B13" w:rsidRDefault="00D3673A" w:rsidP="00D3673A">
            <w:pPr>
              <w:jc w:val="both"/>
              <w:rPr>
                <w:rFonts w:ascii="Times New Roman" w:eastAsia="Times New Roman" w:hAnsi="Times New Roman" w:cs="Times New Roman"/>
                <w:b/>
                <w:sz w:val="24"/>
                <w:szCs w:val="24"/>
                <w:u w:val="single"/>
                <w:lang w:val="cs-CZ"/>
              </w:rPr>
            </w:pPr>
          </w:p>
        </w:tc>
      </w:tr>
      <w:tr w:rsidR="00471A15" w:rsidRPr="00CF5B13" w:rsidTr="00700A08">
        <w:tc>
          <w:tcPr>
            <w:tcW w:w="6883" w:type="dxa"/>
          </w:tcPr>
          <w:p w:rsidR="00471A15" w:rsidRPr="00CF5B13" w:rsidRDefault="00471A15" w:rsidP="00471A15">
            <w:pPr>
              <w:pStyle w:val="Odstavecseseznamem"/>
              <w:ind w:left="0"/>
              <w:jc w:val="both"/>
              <w:rPr>
                <w:rFonts w:ascii="Times New Roman" w:eastAsia="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lastRenderedPageBreak/>
              <w:t>1.11 Sledovat a průběžně vyhodnocovat úspěšnost žen a mužů v rámci přijímacích řízení k PČR a do AČR.</w:t>
            </w:r>
          </w:p>
          <w:p w:rsidR="00471A15" w:rsidRPr="00CF5B13" w:rsidRDefault="00471A15" w:rsidP="00665F96">
            <w:pPr>
              <w:pStyle w:val="Odstavecseseznamem"/>
              <w:spacing w:after="100" w:afterAutospacing="1"/>
              <w:ind w:left="0"/>
              <w:jc w:val="both"/>
              <w:rPr>
                <w:rFonts w:ascii="Times New Roman" w:eastAsia="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t>(MO, MV)</w:t>
            </w:r>
          </w:p>
        </w:tc>
        <w:tc>
          <w:tcPr>
            <w:tcW w:w="3465" w:type="dxa"/>
            <w:gridSpan w:val="2"/>
          </w:tcPr>
          <w:p w:rsidR="00471A15" w:rsidRPr="00CF5B13" w:rsidRDefault="00471A15" w:rsidP="00471A15">
            <w:pPr>
              <w:pStyle w:val="Odstavecseseznamem"/>
              <w:ind w:left="0"/>
              <w:jc w:val="both"/>
              <w:rPr>
                <w:rFonts w:ascii="Times New Roman" w:eastAsia="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t xml:space="preserve"> </w:t>
            </w:r>
            <w:r w:rsidR="00CB76B0" w:rsidRPr="00CF5B13">
              <w:rPr>
                <w:rFonts w:ascii="Times New Roman" w:hAnsi="Times New Roman" w:cs="Times New Roman"/>
                <w:b/>
                <w:color w:val="4472C4" w:themeColor="accent5"/>
                <w:sz w:val="24"/>
                <w:szCs w:val="24"/>
                <w:lang w:val="cs-CZ"/>
              </w:rPr>
              <w:t>Plněno průběžně</w:t>
            </w:r>
          </w:p>
        </w:tc>
      </w:tr>
      <w:tr w:rsidR="00471A15" w:rsidRPr="00CF5B13" w:rsidTr="005C2738">
        <w:tc>
          <w:tcPr>
            <w:tcW w:w="10348" w:type="dxa"/>
            <w:gridSpan w:val="3"/>
          </w:tcPr>
          <w:p w:rsidR="00AF6E5A" w:rsidRPr="00CF5B13" w:rsidRDefault="00AF6E5A" w:rsidP="00665F96">
            <w:pPr>
              <w:pStyle w:val="Odstavecseseznamem"/>
              <w:numPr>
                <w:ilvl w:val="0"/>
                <w:numId w:val="3"/>
              </w:numPr>
              <w:spacing w:before="120"/>
              <w:jc w:val="both"/>
              <w:rPr>
                <w:rFonts w:ascii="Times New Roman" w:eastAsia="Times New Roman" w:hAnsi="Times New Roman" w:cs="Times New Roman"/>
                <w:b/>
                <w:sz w:val="24"/>
                <w:szCs w:val="24"/>
                <w:u w:val="single"/>
                <w:lang w:val="cs-CZ"/>
              </w:rPr>
            </w:pPr>
            <w:r w:rsidRPr="00CF5B13">
              <w:rPr>
                <w:rFonts w:ascii="Times New Roman" w:eastAsia="Times New Roman" w:hAnsi="Times New Roman" w:cs="Times New Roman"/>
                <w:b/>
                <w:sz w:val="24"/>
                <w:szCs w:val="24"/>
                <w:u w:val="single"/>
                <w:lang w:val="cs-CZ"/>
              </w:rPr>
              <w:t>Ministerstvo obrany</w:t>
            </w:r>
          </w:p>
          <w:p w:rsidR="0042267B" w:rsidRPr="00CF5B13" w:rsidRDefault="00471A15" w:rsidP="0042267B">
            <w:pPr>
              <w:pStyle w:val="Odstavecseseznamem"/>
              <w:ind w:left="0"/>
              <w:rPr>
                <w:rFonts w:ascii="Times New Roman" w:eastAsia="Times New Roman" w:hAnsi="Times New Roman" w:cs="Times New Roman"/>
                <w:sz w:val="24"/>
                <w:szCs w:val="24"/>
                <w:lang w:val="cs-CZ"/>
              </w:rPr>
            </w:pPr>
            <w:r w:rsidRPr="00CF5B13">
              <w:rPr>
                <w:rFonts w:ascii="Times New Roman" w:eastAsia="Times New Roman" w:hAnsi="Times New Roman" w:cs="Times New Roman"/>
                <w:sz w:val="24"/>
                <w:szCs w:val="24"/>
                <w:lang w:val="cs-CZ"/>
              </w:rPr>
              <w:t xml:space="preserve">  </w:t>
            </w:r>
          </w:p>
          <w:p w:rsidR="0042267B" w:rsidRPr="00CF5B13" w:rsidRDefault="0042267B" w:rsidP="0042267B">
            <w:pPr>
              <w:pStyle w:val="Odstavecseseznamem"/>
              <w:ind w:left="0"/>
              <w:rPr>
                <w:rFonts w:ascii="Times New Roman" w:eastAsia="Times New Roman" w:hAnsi="Times New Roman" w:cs="Times New Roman"/>
                <w:sz w:val="24"/>
                <w:szCs w:val="24"/>
                <w:lang w:val="cs-CZ"/>
              </w:rPr>
            </w:pPr>
            <w:r w:rsidRPr="00CF5B13">
              <w:rPr>
                <w:rFonts w:ascii="Times New Roman" w:eastAsia="Times New Roman" w:hAnsi="Times New Roman" w:cs="Times New Roman"/>
                <w:sz w:val="24"/>
                <w:szCs w:val="24"/>
                <w:lang w:val="cs-CZ"/>
              </w:rPr>
              <w:t>Výběr personálu v roce 2022 (nábor do AČR):</w:t>
            </w:r>
          </w:p>
          <w:tbl>
            <w:tblPr>
              <w:tblW w:w="6816" w:type="dxa"/>
              <w:tblInd w:w="58"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1460"/>
              <w:gridCol w:w="1802"/>
              <w:gridCol w:w="1811"/>
              <w:gridCol w:w="1743"/>
            </w:tblGrid>
            <w:tr w:rsidR="0042267B" w:rsidRPr="00412C4E" w:rsidTr="00CB76B0">
              <w:trPr>
                <w:trHeight w:val="336"/>
              </w:trPr>
              <w:tc>
                <w:tcPr>
                  <w:tcW w:w="1460" w:type="dxa"/>
                  <w:shd w:val="clear" w:color="auto" w:fill="CCFFFF"/>
                </w:tcPr>
                <w:p w:rsidR="0042267B" w:rsidRPr="00CF5B13" w:rsidRDefault="0042267B" w:rsidP="0042267B">
                  <w:pPr>
                    <w:ind w:left="368" w:hanging="368"/>
                    <w:jc w:val="center"/>
                    <w:rPr>
                      <w:rFonts w:ascii="Arial" w:hAnsi="Arial" w:cs="Arial"/>
                      <w:b/>
                      <w:bCs/>
                      <w:sz w:val="18"/>
                      <w:szCs w:val="18"/>
                      <w:lang w:val="cs-CZ"/>
                    </w:rPr>
                  </w:pPr>
                  <w:r w:rsidRPr="00CF5B13">
                    <w:rPr>
                      <w:rFonts w:ascii="Arial" w:hAnsi="Arial" w:cs="Arial"/>
                      <w:b/>
                      <w:bCs/>
                      <w:sz w:val="18"/>
                      <w:szCs w:val="18"/>
                      <w:lang w:val="cs-CZ"/>
                    </w:rPr>
                    <w:t>přímý nábor</w:t>
                  </w:r>
                </w:p>
              </w:tc>
              <w:tc>
                <w:tcPr>
                  <w:tcW w:w="1802" w:type="dxa"/>
                  <w:shd w:val="clear" w:color="auto" w:fill="CCFFFF"/>
                </w:tcPr>
                <w:p w:rsidR="0042267B" w:rsidRPr="00CF5B13" w:rsidRDefault="0042267B" w:rsidP="0042267B">
                  <w:pPr>
                    <w:jc w:val="center"/>
                    <w:rPr>
                      <w:rFonts w:ascii="Arial" w:hAnsi="Arial" w:cs="Arial"/>
                      <w:b/>
                      <w:bCs/>
                      <w:sz w:val="18"/>
                      <w:szCs w:val="18"/>
                      <w:lang w:val="cs-CZ"/>
                    </w:rPr>
                  </w:pPr>
                  <w:r w:rsidRPr="00CF5B13">
                    <w:rPr>
                      <w:rFonts w:ascii="Arial" w:hAnsi="Arial" w:cs="Arial"/>
                      <w:b/>
                      <w:bCs/>
                      <w:sz w:val="18"/>
                      <w:szCs w:val="18"/>
                      <w:lang w:val="cs-CZ"/>
                    </w:rPr>
                    <w:t>zájemce/zájemkyně</w:t>
                  </w:r>
                </w:p>
              </w:tc>
              <w:tc>
                <w:tcPr>
                  <w:tcW w:w="1811" w:type="dxa"/>
                  <w:shd w:val="clear" w:color="auto" w:fill="CCFFFF"/>
                </w:tcPr>
                <w:p w:rsidR="0042267B" w:rsidRPr="00CF5B13" w:rsidRDefault="0042267B" w:rsidP="0042267B">
                  <w:pPr>
                    <w:jc w:val="center"/>
                    <w:rPr>
                      <w:rFonts w:ascii="Arial" w:hAnsi="Arial" w:cs="Arial"/>
                      <w:b/>
                      <w:bCs/>
                      <w:sz w:val="18"/>
                      <w:szCs w:val="18"/>
                      <w:lang w:val="cs-CZ"/>
                    </w:rPr>
                  </w:pPr>
                  <w:r w:rsidRPr="00CF5B13">
                    <w:rPr>
                      <w:rFonts w:ascii="Arial" w:hAnsi="Arial" w:cs="Arial"/>
                      <w:b/>
                      <w:bCs/>
                      <w:sz w:val="18"/>
                      <w:szCs w:val="18"/>
                      <w:lang w:val="cs-CZ"/>
                    </w:rPr>
                    <w:t>uchazeč/uchazečka</w:t>
                  </w:r>
                </w:p>
              </w:tc>
              <w:tc>
                <w:tcPr>
                  <w:tcW w:w="1743" w:type="dxa"/>
                  <w:shd w:val="clear" w:color="auto" w:fill="CCFFFF"/>
                </w:tcPr>
                <w:p w:rsidR="0042267B" w:rsidRPr="00CF5B13" w:rsidRDefault="0042267B" w:rsidP="0042267B">
                  <w:pPr>
                    <w:jc w:val="center"/>
                    <w:rPr>
                      <w:rFonts w:ascii="Arial" w:hAnsi="Arial" w:cs="Arial"/>
                      <w:b/>
                      <w:bCs/>
                      <w:sz w:val="18"/>
                      <w:szCs w:val="18"/>
                      <w:lang w:val="cs-CZ"/>
                    </w:rPr>
                  </w:pPr>
                  <w:r w:rsidRPr="00CF5B13">
                    <w:rPr>
                      <w:rFonts w:ascii="Arial" w:hAnsi="Arial" w:cs="Arial"/>
                      <w:b/>
                      <w:bCs/>
                      <w:sz w:val="18"/>
                      <w:szCs w:val="18"/>
                      <w:lang w:val="cs-CZ"/>
                    </w:rPr>
                    <w:t>přijat/přijata</w:t>
                  </w:r>
                </w:p>
              </w:tc>
            </w:tr>
            <w:tr w:rsidR="0042267B" w:rsidRPr="00412C4E" w:rsidTr="00CB76B0">
              <w:trPr>
                <w:trHeight w:val="240"/>
              </w:trPr>
              <w:tc>
                <w:tcPr>
                  <w:tcW w:w="1460" w:type="dxa"/>
                  <w:shd w:val="clear" w:color="auto" w:fill="auto"/>
                  <w:vAlign w:val="center"/>
                </w:tcPr>
                <w:p w:rsidR="0042267B" w:rsidRPr="00CF5B13" w:rsidRDefault="0042267B" w:rsidP="0042267B">
                  <w:pPr>
                    <w:jc w:val="center"/>
                    <w:rPr>
                      <w:rFonts w:ascii="Arial" w:hAnsi="Arial" w:cs="Arial"/>
                      <w:sz w:val="20"/>
                      <w:szCs w:val="20"/>
                      <w:lang w:val="cs-CZ"/>
                    </w:rPr>
                  </w:pPr>
                  <w:r w:rsidRPr="00CF5B13">
                    <w:rPr>
                      <w:rFonts w:ascii="Arial" w:hAnsi="Arial" w:cs="Arial"/>
                      <w:sz w:val="20"/>
                      <w:szCs w:val="20"/>
                      <w:lang w:val="cs-CZ"/>
                    </w:rPr>
                    <w:t>muži</w:t>
                  </w:r>
                </w:p>
              </w:tc>
              <w:tc>
                <w:tcPr>
                  <w:tcW w:w="1802" w:type="dxa"/>
                  <w:shd w:val="clear" w:color="auto" w:fill="auto"/>
                  <w:vAlign w:val="center"/>
                </w:tcPr>
                <w:p w:rsidR="0042267B" w:rsidRPr="00CF5B13" w:rsidRDefault="0042267B" w:rsidP="0042267B">
                  <w:pPr>
                    <w:rPr>
                      <w:rFonts w:ascii="Arial" w:hAnsi="Arial" w:cs="Arial"/>
                      <w:sz w:val="20"/>
                      <w:szCs w:val="20"/>
                      <w:lang w:val="cs-CZ"/>
                    </w:rPr>
                  </w:pPr>
                  <w:r w:rsidRPr="00CF5B13">
                    <w:rPr>
                      <w:rFonts w:ascii="Arial" w:hAnsi="Arial" w:cs="Arial"/>
                      <w:sz w:val="20"/>
                      <w:szCs w:val="20"/>
                      <w:lang w:val="cs-CZ"/>
                    </w:rPr>
                    <w:t xml:space="preserve">   3639</w:t>
                  </w:r>
                </w:p>
              </w:tc>
              <w:tc>
                <w:tcPr>
                  <w:tcW w:w="1811" w:type="dxa"/>
                  <w:shd w:val="clear" w:color="auto" w:fill="auto"/>
                  <w:vAlign w:val="center"/>
                </w:tcPr>
                <w:p w:rsidR="0042267B" w:rsidRPr="00CF5B13" w:rsidRDefault="0042267B" w:rsidP="0042267B">
                  <w:pPr>
                    <w:rPr>
                      <w:rFonts w:ascii="Arial" w:hAnsi="Arial" w:cs="Arial"/>
                      <w:sz w:val="20"/>
                      <w:szCs w:val="20"/>
                      <w:lang w:val="cs-CZ"/>
                    </w:rPr>
                  </w:pPr>
                  <w:r w:rsidRPr="00CF5B13">
                    <w:rPr>
                      <w:rFonts w:ascii="Arial" w:hAnsi="Arial" w:cs="Arial"/>
                      <w:sz w:val="20"/>
                      <w:szCs w:val="20"/>
                      <w:lang w:val="cs-CZ"/>
                    </w:rPr>
                    <w:t xml:space="preserve">   1956</w:t>
                  </w:r>
                </w:p>
              </w:tc>
              <w:tc>
                <w:tcPr>
                  <w:tcW w:w="1743" w:type="dxa"/>
                  <w:shd w:val="clear" w:color="auto" w:fill="auto"/>
                  <w:vAlign w:val="center"/>
                </w:tcPr>
                <w:p w:rsidR="0042267B" w:rsidRPr="00CF5B13" w:rsidRDefault="0042267B" w:rsidP="0042267B">
                  <w:pPr>
                    <w:rPr>
                      <w:rFonts w:ascii="Arial" w:hAnsi="Arial" w:cs="Arial"/>
                      <w:sz w:val="20"/>
                      <w:szCs w:val="20"/>
                      <w:lang w:val="cs-CZ"/>
                    </w:rPr>
                  </w:pPr>
                  <w:r w:rsidRPr="00CF5B13">
                    <w:rPr>
                      <w:rFonts w:ascii="Arial" w:hAnsi="Arial" w:cs="Arial"/>
                      <w:sz w:val="20"/>
                      <w:szCs w:val="20"/>
                      <w:lang w:val="cs-CZ"/>
                    </w:rPr>
                    <w:t xml:space="preserve"> 1434</w:t>
                  </w:r>
                </w:p>
              </w:tc>
            </w:tr>
            <w:tr w:rsidR="0042267B" w:rsidRPr="00412C4E" w:rsidTr="00CB76B0">
              <w:trPr>
                <w:trHeight w:val="252"/>
              </w:trPr>
              <w:tc>
                <w:tcPr>
                  <w:tcW w:w="1460" w:type="dxa"/>
                  <w:shd w:val="clear" w:color="auto" w:fill="auto"/>
                  <w:vAlign w:val="center"/>
                </w:tcPr>
                <w:p w:rsidR="0042267B" w:rsidRPr="00CF5B13" w:rsidRDefault="0042267B" w:rsidP="00E1647F">
                  <w:pPr>
                    <w:jc w:val="center"/>
                    <w:rPr>
                      <w:rFonts w:ascii="Arial" w:hAnsi="Arial" w:cs="Arial"/>
                      <w:sz w:val="20"/>
                      <w:szCs w:val="20"/>
                      <w:lang w:val="cs-CZ"/>
                    </w:rPr>
                  </w:pPr>
                  <w:r w:rsidRPr="00CF5B13">
                    <w:rPr>
                      <w:rFonts w:ascii="Arial" w:hAnsi="Arial" w:cs="Arial"/>
                      <w:sz w:val="20"/>
                      <w:szCs w:val="20"/>
                      <w:lang w:val="cs-CZ"/>
                    </w:rPr>
                    <w:t>žen</w:t>
                  </w:r>
                  <w:r w:rsidR="00E1647F" w:rsidRPr="00CF5B13">
                    <w:rPr>
                      <w:rFonts w:ascii="Arial" w:hAnsi="Arial" w:cs="Arial"/>
                      <w:sz w:val="20"/>
                      <w:szCs w:val="20"/>
                      <w:lang w:val="cs-CZ"/>
                    </w:rPr>
                    <w:t>y</w:t>
                  </w:r>
                </w:p>
              </w:tc>
              <w:tc>
                <w:tcPr>
                  <w:tcW w:w="1802" w:type="dxa"/>
                  <w:shd w:val="clear" w:color="auto" w:fill="auto"/>
                  <w:vAlign w:val="center"/>
                </w:tcPr>
                <w:p w:rsidR="0042267B" w:rsidRPr="00CF5B13" w:rsidRDefault="0042267B" w:rsidP="0042267B">
                  <w:pPr>
                    <w:jc w:val="center"/>
                    <w:rPr>
                      <w:rFonts w:ascii="Arial" w:hAnsi="Arial" w:cs="Arial"/>
                      <w:sz w:val="20"/>
                      <w:szCs w:val="20"/>
                      <w:lang w:val="cs-CZ"/>
                    </w:rPr>
                  </w:pPr>
                  <w:r w:rsidRPr="00CF5B13">
                    <w:rPr>
                      <w:rFonts w:ascii="Arial" w:hAnsi="Arial" w:cs="Arial"/>
                      <w:sz w:val="20"/>
                      <w:szCs w:val="20"/>
                      <w:lang w:val="cs-CZ"/>
                    </w:rPr>
                    <w:t xml:space="preserve">  872 </w:t>
                  </w:r>
                  <w:r w:rsidRPr="00CF5B13">
                    <w:rPr>
                      <w:rFonts w:ascii="Arial" w:hAnsi="Arial" w:cs="Arial"/>
                      <w:sz w:val="16"/>
                      <w:szCs w:val="16"/>
                      <w:lang w:val="cs-CZ"/>
                    </w:rPr>
                    <w:t>(19% podíl žen)</w:t>
                  </w:r>
                </w:p>
              </w:tc>
              <w:tc>
                <w:tcPr>
                  <w:tcW w:w="1811" w:type="dxa"/>
                  <w:shd w:val="clear" w:color="auto" w:fill="auto"/>
                  <w:vAlign w:val="center"/>
                </w:tcPr>
                <w:p w:rsidR="0042267B" w:rsidRPr="00CF5B13" w:rsidRDefault="0042267B" w:rsidP="0042267B">
                  <w:pPr>
                    <w:jc w:val="center"/>
                    <w:rPr>
                      <w:rFonts w:ascii="Arial" w:hAnsi="Arial" w:cs="Arial"/>
                      <w:sz w:val="20"/>
                      <w:szCs w:val="20"/>
                      <w:lang w:val="cs-CZ"/>
                    </w:rPr>
                  </w:pPr>
                  <w:r w:rsidRPr="00CF5B13">
                    <w:rPr>
                      <w:rFonts w:ascii="Arial" w:hAnsi="Arial" w:cs="Arial"/>
                      <w:sz w:val="20"/>
                      <w:szCs w:val="20"/>
                      <w:lang w:val="cs-CZ"/>
                    </w:rPr>
                    <w:t xml:space="preserve">  443</w:t>
                  </w:r>
                  <w:r w:rsidRPr="00CF5B13">
                    <w:rPr>
                      <w:rFonts w:ascii="Arial" w:hAnsi="Arial" w:cs="Arial"/>
                      <w:sz w:val="16"/>
                      <w:szCs w:val="16"/>
                      <w:lang w:val="cs-CZ"/>
                    </w:rPr>
                    <w:t xml:space="preserve">(18% podíl žen)  </w:t>
                  </w:r>
                </w:p>
              </w:tc>
              <w:tc>
                <w:tcPr>
                  <w:tcW w:w="1743" w:type="dxa"/>
                  <w:shd w:val="clear" w:color="auto" w:fill="auto"/>
                  <w:vAlign w:val="center"/>
                </w:tcPr>
                <w:p w:rsidR="0042267B" w:rsidRPr="00CF5B13" w:rsidRDefault="0042267B" w:rsidP="0042267B">
                  <w:pPr>
                    <w:jc w:val="center"/>
                    <w:rPr>
                      <w:rFonts w:ascii="Arial" w:hAnsi="Arial" w:cs="Arial"/>
                      <w:sz w:val="20"/>
                      <w:szCs w:val="20"/>
                      <w:lang w:val="cs-CZ"/>
                    </w:rPr>
                  </w:pPr>
                  <w:r w:rsidRPr="00CF5B13">
                    <w:rPr>
                      <w:rFonts w:ascii="Arial" w:hAnsi="Arial" w:cs="Arial"/>
                      <w:sz w:val="20"/>
                      <w:szCs w:val="20"/>
                      <w:lang w:val="cs-CZ"/>
                    </w:rPr>
                    <w:t xml:space="preserve"> 233 </w:t>
                  </w:r>
                  <w:r w:rsidRPr="00CF5B13">
                    <w:rPr>
                      <w:rFonts w:ascii="Arial" w:hAnsi="Arial" w:cs="Arial"/>
                      <w:sz w:val="16"/>
                      <w:szCs w:val="16"/>
                      <w:lang w:val="cs-CZ"/>
                    </w:rPr>
                    <w:t>(14%podíl žen)</w:t>
                  </w:r>
                </w:p>
              </w:tc>
            </w:tr>
            <w:tr w:rsidR="0042267B" w:rsidRPr="00412C4E" w:rsidTr="00CB76B0">
              <w:trPr>
                <w:trHeight w:val="336"/>
              </w:trPr>
              <w:tc>
                <w:tcPr>
                  <w:tcW w:w="1460" w:type="dxa"/>
                  <w:shd w:val="clear" w:color="auto" w:fill="auto"/>
                  <w:noWrap/>
                  <w:vAlign w:val="center"/>
                </w:tcPr>
                <w:p w:rsidR="0042267B" w:rsidRPr="00CF5B13" w:rsidRDefault="0042267B" w:rsidP="0042267B">
                  <w:pPr>
                    <w:jc w:val="center"/>
                    <w:rPr>
                      <w:rFonts w:ascii="Arial" w:hAnsi="Arial" w:cs="Arial"/>
                      <w:b/>
                      <w:bCs/>
                      <w:sz w:val="20"/>
                      <w:szCs w:val="20"/>
                      <w:lang w:val="cs-CZ"/>
                    </w:rPr>
                  </w:pPr>
                  <w:r w:rsidRPr="00CF5B13">
                    <w:rPr>
                      <w:rFonts w:ascii="Arial" w:hAnsi="Arial" w:cs="Arial"/>
                      <w:b/>
                      <w:bCs/>
                      <w:sz w:val="20"/>
                      <w:szCs w:val="20"/>
                      <w:lang w:val="cs-CZ"/>
                    </w:rPr>
                    <w:t>Celkem</w:t>
                  </w:r>
                </w:p>
              </w:tc>
              <w:tc>
                <w:tcPr>
                  <w:tcW w:w="1802" w:type="dxa"/>
                  <w:shd w:val="clear" w:color="auto" w:fill="auto"/>
                  <w:noWrap/>
                  <w:vAlign w:val="center"/>
                </w:tcPr>
                <w:p w:rsidR="0042267B" w:rsidRPr="00CF5B13" w:rsidRDefault="0042267B" w:rsidP="0042267B">
                  <w:pPr>
                    <w:rPr>
                      <w:rFonts w:ascii="Arial" w:hAnsi="Arial" w:cs="Arial"/>
                      <w:b/>
                      <w:bCs/>
                      <w:sz w:val="20"/>
                      <w:szCs w:val="20"/>
                      <w:lang w:val="cs-CZ"/>
                    </w:rPr>
                  </w:pPr>
                  <w:r w:rsidRPr="00CF5B13">
                    <w:rPr>
                      <w:rFonts w:ascii="Arial" w:hAnsi="Arial" w:cs="Arial"/>
                      <w:b/>
                      <w:bCs/>
                      <w:sz w:val="20"/>
                      <w:szCs w:val="20"/>
                      <w:lang w:val="cs-CZ"/>
                    </w:rPr>
                    <w:t xml:space="preserve">   4511</w:t>
                  </w:r>
                </w:p>
              </w:tc>
              <w:tc>
                <w:tcPr>
                  <w:tcW w:w="1811" w:type="dxa"/>
                  <w:shd w:val="clear" w:color="auto" w:fill="auto"/>
                  <w:noWrap/>
                  <w:vAlign w:val="center"/>
                </w:tcPr>
                <w:p w:rsidR="0042267B" w:rsidRPr="00CF5B13" w:rsidRDefault="0042267B" w:rsidP="0042267B">
                  <w:pPr>
                    <w:rPr>
                      <w:rFonts w:ascii="Arial" w:hAnsi="Arial" w:cs="Arial"/>
                      <w:b/>
                      <w:bCs/>
                      <w:sz w:val="20"/>
                      <w:szCs w:val="20"/>
                      <w:lang w:val="cs-CZ"/>
                    </w:rPr>
                  </w:pPr>
                  <w:r w:rsidRPr="00CF5B13">
                    <w:rPr>
                      <w:rFonts w:ascii="Arial" w:hAnsi="Arial" w:cs="Arial"/>
                      <w:b/>
                      <w:bCs/>
                      <w:sz w:val="20"/>
                      <w:szCs w:val="20"/>
                      <w:lang w:val="cs-CZ"/>
                    </w:rPr>
                    <w:t xml:space="preserve">   2399</w:t>
                  </w:r>
                </w:p>
              </w:tc>
              <w:tc>
                <w:tcPr>
                  <w:tcW w:w="1743" w:type="dxa"/>
                  <w:shd w:val="clear" w:color="auto" w:fill="auto"/>
                  <w:noWrap/>
                  <w:vAlign w:val="center"/>
                </w:tcPr>
                <w:p w:rsidR="0042267B" w:rsidRPr="00CF5B13" w:rsidRDefault="0042267B" w:rsidP="0042267B">
                  <w:pPr>
                    <w:rPr>
                      <w:rFonts w:ascii="Arial" w:hAnsi="Arial" w:cs="Arial"/>
                      <w:b/>
                      <w:bCs/>
                      <w:sz w:val="20"/>
                      <w:szCs w:val="20"/>
                      <w:lang w:val="cs-CZ"/>
                    </w:rPr>
                  </w:pPr>
                  <w:r w:rsidRPr="00CF5B13">
                    <w:rPr>
                      <w:rFonts w:ascii="Arial" w:hAnsi="Arial" w:cs="Arial"/>
                      <w:b/>
                      <w:bCs/>
                      <w:sz w:val="20"/>
                      <w:szCs w:val="20"/>
                      <w:lang w:val="cs-CZ"/>
                    </w:rPr>
                    <w:t xml:space="preserve"> 1667</w:t>
                  </w:r>
                </w:p>
              </w:tc>
            </w:tr>
          </w:tbl>
          <w:p w:rsidR="0042267B" w:rsidRPr="00CF5B13" w:rsidRDefault="0042267B" w:rsidP="0042267B">
            <w:pPr>
              <w:rPr>
                <w:i/>
                <w:sz w:val="20"/>
                <w:szCs w:val="20"/>
                <w:lang w:val="cs-CZ"/>
              </w:rPr>
            </w:pPr>
          </w:p>
          <w:p w:rsidR="0042267B" w:rsidRPr="00CF5B13" w:rsidRDefault="0042267B" w:rsidP="0042267B">
            <w:pPr>
              <w:rPr>
                <w:i/>
                <w:sz w:val="20"/>
                <w:szCs w:val="20"/>
                <w:lang w:val="cs-CZ"/>
              </w:rPr>
            </w:pPr>
            <w:r w:rsidRPr="00CF5B13">
              <w:rPr>
                <w:i/>
                <w:sz w:val="20"/>
                <w:szCs w:val="20"/>
                <w:lang w:val="cs-CZ"/>
              </w:rPr>
              <w:t xml:space="preserve">Pro srovnání: výběr v roce 2021  </w:t>
            </w:r>
          </w:p>
          <w:tbl>
            <w:tblPr>
              <w:tblW w:w="6816" w:type="dxa"/>
              <w:tblInd w:w="58"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1460"/>
              <w:gridCol w:w="1802"/>
              <w:gridCol w:w="1811"/>
              <w:gridCol w:w="1743"/>
            </w:tblGrid>
            <w:tr w:rsidR="0042267B" w:rsidRPr="00CF5B13" w:rsidTr="00CB76B0">
              <w:trPr>
                <w:trHeight w:val="336"/>
              </w:trPr>
              <w:tc>
                <w:tcPr>
                  <w:tcW w:w="1460" w:type="dxa"/>
                  <w:shd w:val="clear" w:color="auto" w:fill="CCFFFF"/>
                </w:tcPr>
                <w:p w:rsidR="0042267B" w:rsidRPr="00CF5B13" w:rsidRDefault="0042267B" w:rsidP="0042267B">
                  <w:pPr>
                    <w:ind w:left="368" w:hanging="368"/>
                    <w:jc w:val="center"/>
                    <w:rPr>
                      <w:rFonts w:ascii="Arial" w:hAnsi="Arial" w:cs="Arial"/>
                      <w:b/>
                      <w:bCs/>
                      <w:sz w:val="18"/>
                      <w:szCs w:val="18"/>
                    </w:rPr>
                  </w:pPr>
                  <w:r w:rsidRPr="00CF5B13">
                    <w:rPr>
                      <w:rFonts w:ascii="Arial" w:hAnsi="Arial" w:cs="Arial"/>
                      <w:b/>
                      <w:bCs/>
                      <w:sz w:val="18"/>
                      <w:szCs w:val="18"/>
                    </w:rPr>
                    <w:t>přímý nábor</w:t>
                  </w:r>
                </w:p>
              </w:tc>
              <w:tc>
                <w:tcPr>
                  <w:tcW w:w="1802" w:type="dxa"/>
                  <w:shd w:val="clear" w:color="auto" w:fill="CCFFFF"/>
                </w:tcPr>
                <w:p w:rsidR="0042267B" w:rsidRPr="00CF5B13" w:rsidRDefault="0042267B" w:rsidP="0042267B">
                  <w:pPr>
                    <w:jc w:val="center"/>
                    <w:rPr>
                      <w:rFonts w:ascii="Arial" w:hAnsi="Arial" w:cs="Arial"/>
                      <w:b/>
                      <w:bCs/>
                      <w:sz w:val="18"/>
                      <w:szCs w:val="18"/>
                    </w:rPr>
                  </w:pPr>
                  <w:r w:rsidRPr="00CF5B13">
                    <w:rPr>
                      <w:rFonts w:ascii="Arial" w:hAnsi="Arial" w:cs="Arial"/>
                      <w:b/>
                      <w:bCs/>
                      <w:sz w:val="18"/>
                      <w:szCs w:val="18"/>
                    </w:rPr>
                    <w:t>zájemce/zájemkyně</w:t>
                  </w:r>
                </w:p>
              </w:tc>
              <w:tc>
                <w:tcPr>
                  <w:tcW w:w="1811" w:type="dxa"/>
                  <w:shd w:val="clear" w:color="auto" w:fill="CCFFFF"/>
                </w:tcPr>
                <w:p w:rsidR="0042267B" w:rsidRPr="00CF5B13" w:rsidRDefault="0042267B" w:rsidP="0042267B">
                  <w:pPr>
                    <w:jc w:val="center"/>
                    <w:rPr>
                      <w:rFonts w:ascii="Arial" w:hAnsi="Arial" w:cs="Arial"/>
                      <w:b/>
                      <w:bCs/>
                      <w:sz w:val="18"/>
                      <w:szCs w:val="18"/>
                    </w:rPr>
                  </w:pPr>
                  <w:r w:rsidRPr="00CF5B13">
                    <w:rPr>
                      <w:rFonts w:ascii="Arial" w:hAnsi="Arial" w:cs="Arial"/>
                      <w:b/>
                      <w:bCs/>
                      <w:sz w:val="18"/>
                      <w:szCs w:val="18"/>
                    </w:rPr>
                    <w:t>uchazeč/uchazečka</w:t>
                  </w:r>
                </w:p>
              </w:tc>
              <w:tc>
                <w:tcPr>
                  <w:tcW w:w="1743" w:type="dxa"/>
                  <w:shd w:val="clear" w:color="auto" w:fill="CCFFFF"/>
                </w:tcPr>
                <w:p w:rsidR="0042267B" w:rsidRPr="00CF5B13" w:rsidRDefault="0042267B" w:rsidP="0042267B">
                  <w:pPr>
                    <w:jc w:val="center"/>
                    <w:rPr>
                      <w:rFonts w:ascii="Arial" w:hAnsi="Arial" w:cs="Arial"/>
                      <w:b/>
                      <w:bCs/>
                      <w:sz w:val="18"/>
                      <w:szCs w:val="18"/>
                    </w:rPr>
                  </w:pPr>
                  <w:r w:rsidRPr="00CF5B13">
                    <w:rPr>
                      <w:rFonts w:ascii="Arial" w:hAnsi="Arial" w:cs="Arial"/>
                      <w:b/>
                      <w:bCs/>
                      <w:sz w:val="18"/>
                      <w:szCs w:val="18"/>
                    </w:rPr>
                    <w:t>přijat/přijata</w:t>
                  </w:r>
                </w:p>
              </w:tc>
            </w:tr>
            <w:tr w:rsidR="0042267B" w:rsidRPr="00CF5B13" w:rsidTr="00CB76B0">
              <w:trPr>
                <w:trHeight w:val="240"/>
              </w:trPr>
              <w:tc>
                <w:tcPr>
                  <w:tcW w:w="1460" w:type="dxa"/>
                  <w:shd w:val="clear" w:color="auto" w:fill="auto"/>
                  <w:vAlign w:val="center"/>
                </w:tcPr>
                <w:p w:rsidR="0042267B" w:rsidRPr="00CF5B13" w:rsidRDefault="0042267B" w:rsidP="0042267B">
                  <w:pPr>
                    <w:jc w:val="center"/>
                    <w:rPr>
                      <w:rFonts w:ascii="Arial" w:hAnsi="Arial" w:cs="Arial"/>
                      <w:sz w:val="20"/>
                      <w:szCs w:val="20"/>
                    </w:rPr>
                  </w:pPr>
                  <w:r w:rsidRPr="00CF5B13">
                    <w:rPr>
                      <w:rFonts w:ascii="Arial" w:hAnsi="Arial" w:cs="Arial"/>
                      <w:sz w:val="20"/>
                      <w:szCs w:val="20"/>
                    </w:rPr>
                    <w:t>muži</w:t>
                  </w:r>
                </w:p>
              </w:tc>
              <w:tc>
                <w:tcPr>
                  <w:tcW w:w="1802" w:type="dxa"/>
                  <w:shd w:val="clear" w:color="auto" w:fill="auto"/>
                  <w:vAlign w:val="center"/>
                </w:tcPr>
                <w:p w:rsidR="0042267B" w:rsidRPr="00CF5B13" w:rsidRDefault="0042267B" w:rsidP="0042267B">
                  <w:pPr>
                    <w:rPr>
                      <w:rFonts w:ascii="Arial" w:hAnsi="Arial" w:cs="Arial"/>
                      <w:sz w:val="20"/>
                      <w:szCs w:val="20"/>
                    </w:rPr>
                  </w:pPr>
                  <w:r w:rsidRPr="00CF5B13">
                    <w:rPr>
                      <w:rFonts w:ascii="Arial" w:hAnsi="Arial" w:cs="Arial"/>
                      <w:sz w:val="20"/>
                      <w:szCs w:val="20"/>
                    </w:rPr>
                    <w:t xml:space="preserve">   2542 </w:t>
                  </w:r>
                </w:p>
              </w:tc>
              <w:tc>
                <w:tcPr>
                  <w:tcW w:w="1811" w:type="dxa"/>
                  <w:shd w:val="clear" w:color="auto" w:fill="auto"/>
                  <w:vAlign w:val="center"/>
                </w:tcPr>
                <w:p w:rsidR="0042267B" w:rsidRPr="00CF5B13" w:rsidRDefault="0042267B" w:rsidP="0042267B">
                  <w:pPr>
                    <w:rPr>
                      <w:rFonts w:ascii="Arial" w:hAnsi="Arial" w:cs="Arial"/>
                      <w:sz w:val="20"/>
                      <w:szCs w:val="20"/>
                    </w:rPr>
                  </w:pPr>
                  <w:r w:rsidRPr="00CF5B13">
                    <w:rPr>
                      <w:rFonts w:ascii="Arial" w:hAnsi="Arial" w:cs="Arial"/>
                      <w:sz w:val="20"/>
                      <w:szCs w:val="20"/>
                    </w:rPr>
                    <w:t xml:space="preserve">   1415 </w:t>
                  </w:r>
                </w:p>
              </w:tc>
              <w:tc>
                <w:tcPr>
                  <w:tcW w:w="1743" w:type="dxa"/>
                  <w:shd w:val="clear" w:color="auto" w:fill="auto"/>
                  <w:vAlign w:val="center"/>
                </w:tcPr>
                <w:p w:rsidR="0042267B" w:rsidRPr="00CF5B13" w:rsidRDefault="0042267B" w:rsidP="0042267B">
                  <w:pPr>
                    <w:rPr>
                      <w:rFonts w:ascii="Arial" w:hAnsi="Arial" w:cs="Arial"/>
                      <w:sz w:val="20"/>
                      <w:szCs w:val="20"/>
                    </w:rPr>
                  </w:pPr>
                  <w:r w:rsidRPr="00CF5B13">
                    <w:rPr>
                      <w:rFonts w:ascii="Arial" w:hAnsi="Arial" w:cs="Arial"/>
                      <w:sz w:val="20"/>
                      <w:szCs w:val="20"/>
                    </w:rPr>
                    <w:t xml:space="preserve"> 1015</w:t>
                  </w:r>
                </w:p>
              </w:tc>
            </w:tr>
            <w:tr w:rsidR="0042267B" w:rsidRPr="00CF5B13" w:rsidTr="00CB76B0">
              <w:trPr>
                <w:trHeight w:val="252"/>
              </w:trPr>
              <w:tc>
                <w:tcPr>
                  <w:tcW w:w="1460" w:type="dxa"/>
                  <w:shd w:val="clear" w:color="auto" w:fill="auto"/>
                  <w:vAlign w:val="center"/>
                </w:tcPr>
                <w:p w:rsidR="0042267B" w:rsidRPr="00CF5B13" w:rsidRDefault="0042267B" w:rsidP="00E1647F">
                  <w:pPr>
                    <w:jc w:val="center"/>
                    <w:rPr>
                      <w:rFonts w:ascii="Arial" w:hAnsi="Arial" w:cs="Arial"/>
                      <w:sz w:val="20"/>
                      <w:szCs w:val="20"/>
                    </w:rPr>
                  </w:pPr>
                  <w:r w:rsidRPr="00CF5B13">
                    <w:rPr>
                      <w:rFonts w:ascii="Arial" w:hAnsi="Arial" w:cs="Arial"/>
                      <w:sz w:val="20"/>
                      <w:szCs w:val="20"/>
                    </w:rPr>
                    <w:t>žen</w:t>
                  </w:r>
                  <w:r w:rsidR="00E1647F" w:rsidRPr="00CF5B13">
                    <w:rPr>
                      <w:rFonts w:ascii="Arial" w:hAnsi="Arial" w:cs="Arial"/>
                      <w:sz w:val="20"/>
                      <w:szCs w:val="20"/>
                    </w:rPr>
                    <w:t>y</w:t>
                  </w:r>
                </w:p>
              </w:tc>
              <w:tc>
                <w:tcPr>
                  <w:tcW w:w="1802" w:type="dxa"/>
                  <w:shd w:val="clear" w:color="auto" w:fill="auto"/>
                  <w:vAlign w:val="center"/>
                </w:tcPr>
                <w:p w:rsidR="0042267B" w:rsidRPr="00CF5B13" w:rsidRDefault="0042267B" w:rsidP="0042267B">
                  <w:pPr>
                    <w:jc w:val="center"/>
                    <w:rPr>
                      <w:rFonts w:ascii="Arial" w:hAnsi="Arial" w:cs="Arial"/>
                      <w:sz w:val="20"/>
                      <w:szCs w:val="20"/>
                    </w:rPr>
                  </w:pPr>
                  <w:r w:rsidRPr="00CF5B13">
                    <w:rPr>
                      <w:rFonts w:ascii="Arial" w:hAnsi="Arial" w:cs="Arial"/>
                      <w:sz w:val="20"/>
                      <w:szCs w:val="20"/>
                    </w:rPr>
                    <w:t xml:space="preserve">  595 </w:t>
                  </w:r>
                  <w:r w:rsidRPr="00CF5B13">
                    <w:rPr>
                      <w:rFonts w:ascii="Arial" w:hAnsi="Arial" w:cs="Arial"/>
                      <w:sz w:val="16"/>
                      <w:szCs w:val="16"/>
                    </w:rPr>
                    <w:t>(19% podíl žen)</w:t>
                  </w:r>
                </w:p>
              </w:tc>
              <w:tc>
                <w:tcPr>
                  <w:tcW w:w="1811" w:type="dxa"/>
                  <w:shd w:val="clear" w:color="auto" w:fill="auto"/>
                  <w:vAlign w:val="center"/>
                </w:tcPr>
                <w:p w:rsidR="0042267B" w:rsidRPr="00CF5B13" w:rsidRDefault="0042267B" w:rsidP="0042267B">
                  <w:pPr>
                    <w:jc w:val="center"/>
                    <w:rPr>
                      <w:rFonts w:ascii="Arial" w:hAnsi="Arial" w:cs="Arial"/>
                      <w:sz w:val="20"/>
                      <w:szCs w:val="20"/>
                    </w:rPr>
                  </w:pPr>
                  <w:r w:rsidRPr="00CF5B13">
                    <w:rPr>
                      <w:rFonts w:ascii="Arial" w:hAnsi="Arial" w:cs="Arial"/>
                      <w:sz w:val="20"/>
                      <w:szCs w:val="20"/>
                    </w:rPr>
                    <w:t xml:space="preserve">  242 </w:t>
                  </w:r>
                  <w:r w:rsidRPr="00CF5B13">
                    <w:rPr>
                      <w:rFonts w:ascii="Arial" w:hAnsi="Arial" w:cs="Arial"/>
                      <w:sz w:val="16"/>
                      <w:szCs w:val="16"/>
                    </w:rPr>
                    <w:t xml:space="preserve">(15% podíl žen)  </w:t>
                  </w:r>
                </w:p>
              </w:tc>
              <w:tc>
                <w:tcPr>
                  <w:tcW w:w="1743" w:type="dxa"/>
                  <w:shd w:val="clear" w:color="auto" w:fill="auto"/>
                  <w:vAlign w:val="center"/>
                </w:tcPr>
                <w:p w:rsidR="0042267B" w:rsidRPr="00CF5B13" w:rsidRDefault="0042267B" w:rsidP="0042267B">
                  <w:pPr>
                    <w:jc w:val="center"/>
                    <w:rPr>
                      <w:rFonts w:ascii="Arial" w:hAnsi="Arial" w:cs="Arial"/>
                      <w:sz w:val="20"/>
                      <w:szCs w:val="20"/>
                    </w:rPr>
                  </w:pPr>
                  <w:r w:rsidRPr="00CF5B13">
                    <w:rPr>
                      <w:rFonts w:ascii="Arial" w:hAnsi="Arial" w:cs="Arial"/>
                      <w:sz w:val="20"/>
                      <w:szCs w:val="20"/>
                    </w:rPr>
                    <w:t xml:space="preserve"> 213 </w:t>
                  </w:r>
                  <w:r w:rsidRPr="00CF5B13">
                    <w:rPr>
                      <w:rFonts w:ascii="Arial" w:hAnsi="Arial" w:cs="Arial"/>
                      <w:sz w:val="16"/>
                      <w:szCs w:val="16"/>
                    </w:rPr>
                    <w:t>(17%podíl žen)</w:t>
                  </w:r>
                </w:p>
              </w:tc>
            </w:tr>
            <w:tr w:rsidR="0042267B" w:rsidRPr="00CF5B13" w:rsidTr="00CB76B0">
              <w:trPr>
                <w:trHeight w:val="336"/>
              </w:trPr>
              <w:tc>
                <w:tcPr>
                  <w:tcW w:w="1460" w:type="dxa"/>
                  <w:shd w:val="clear" w:color="auto" w:fill="auto"/>
                  <w:noWrap/>
                  <w:vAlign w:val="center"/>
                </w:tcPr>
                <w:p w:rsidR="0042267B" w:rsidRPr="00CF5B13" w:rsidRDefault="0042267B" w:rsidP="0042267B">
                  <w:pPr>
                    <w:jc w:val="center"/>
                    <w:rPr>
                      <w:rFonts w:ascii="Arial" w:hAnsi="Arial" w:cs="Arial"/>
                      <w:b/>
                      <w:bCs/>
                      <w:sz w:val="20"/>
                      <w:szCs w:val="20"/>
                    </w:rPr>
                  </w:pPr>
                  <w:r w:rsidRPr="00CF5B13">
                    <w:rPr>
                      <w:rFonts w:ascii="Arial" w:hAnsi="Arial" w:cs="Arial"/>
                      <w:b/>
                      <w:bCs/>
                      <w:sz w:val="20"/>
                      <w:szCs w:val="20"/>
                    </w:rPr>
                    <w:t>Celkem</w:t>
                  </w:r>
                </w:p>
              </w:tc>
              <w:tc>
                <w:tcPr>
                  <w:tcW w:w="1802" w:type="dxa"/>
                  <w:shd w:val="clear" w:color="auto" w:fill="auto"/>
                  <w:noWrap/>
                  <w:vAlign w:val="center"/>
                </w:tcPr>
                <w:p w:rsidR="0042267B" w:rsidRPr="00CF5B13" w:rsidRDefault="0042267B" w:rsidP="0042267B">
                  <w:pPr>
                    <w:rPr>
                      <w:rFonts w:ascii="Arial" w:hAnsi="Arial" w:cs="Arial"/>
                      <w:b/>
                      <w:bCs/>
                      <w:sz w:val="20"/>
                      <w:szCs w:val="20"/>
                    </w:rPr>
                  </w:pPr>
                  <w:r w:rsidRPr="00CF5B13">
                    <w:rPr>
                      <w:rFonts w:ascii="Arial" w:hAnsi="Arial" w:cs="Arial"/>
                      <w:b/>
                      <w:bCs/>
                      <w:sz w:val="20"/>
                      <w:szCs w:val="20"/>
                    </w:rPr>
                    <w:t xml:space="preserve">   3137</w:t>
                  </w:r>
                </w:p>
              </w:tc>
              <w:tc>
                <w:tcPr>
                  <w:tcW w:w="1811" w:type="dxa"/>
                  <w:shd w:val="clear" w:color="auto" w:fill="auto"/>
                  <w:noWrap/>
                  <w:vAlign w:val="center"/>
                </w:tcPr>
                <w:p w:rsidR="0042267B" w:rsidRPr="00CF5B13" w:rsidRDefault="0042267B" w:rsidP="0042267B">
                  <w:pPr>
                    <w:rPr>
                      <w:rFonts w:ascii="Arial" w:hAnsi="Arial" w:cs="Arial"/>
                      <w:b/>
                      <w:bCs/>
                      <w:sz w:val="20"/>
                      <w:szCs w:val="20"/>
                    </w:rPr>
                  </w:pPr>
                  <w:r w:rsidRPr="00CF5B13">
                    <w:rPr>
                      <w:rFonts w:ascii="Arial" w:hAnsi="Arial" w:cs="Arial"/>
                      <w:b/>
                      <w:bCs/>
                      <w:sz w:val="20"/>
                      <w:szCs w:val="20"/>
                    </w:rPr>
                    <w:t xml:space="preserve">   1657</w:t>
                  </w:r>
                </w:p>
              </w:tc>
              <w:tc>
                <w:tcPr>
                  <w:tcW w:w="1743" w:type="dxa"/>
                  <w:shd w:val="clear" w:color="auto" w:fill="auto"/>
                  <w:noWrap/>
                  <w:vAlign w:val="center"/>
                </w:tcPr>
                <w:p w:rsidR="0042267B" w:rsidRPr="00CF5B13" w:rsidRDefault="0042267B" w:rsidP="0042267B">
                  <w:pPr>
                    <w:rPr>
                      <w:rFonts w:ascii="Arial" w:hAnsi="Arial" w:cs="Arial"/>
                      <w:b/>
                      <w:bCs/>
                      <w:sz w:val="20"/>
                      <w:szCs w:val="20"/>
                    </w:rPr>
                  </w:pPr>
                  <w:r w:rsidRPr="00CF5B13">
                    <w:rPr>
                      <w:rFonts w:ascii="Arial" w:hAnsi="Arial" w:cs="Arial"/>
                      <w:b/>
                      <w:bCs/>
                      <w:sz w:val="20"/>
                      <w:szCs w:val="20"/>
                    </w:rPr>
                    <w:t xml:space="preserve"> 1228</w:t>
                  </w:r>
                </w:p>
              </w:tc>
            </w:tr>
          </w:tbl>
          <w:p w:rsidR="0042267B" w:rsidRPr="00CF5B13" w:rsidRDefault="0042267B" w:rsidP="0042267B">
            <w:pPr>
              <w:rPr>
                <w:b/>
                <w:sz w:val="28"/>
                <w:szCs w:val="28"/>
              </w:rPr>
            </w:pPr>
          </w:p>
          <w:p w:rsidR="0042267B" w:rsidRPr="00CF5B13" w:rsidRDefault="0042267B" w:rsidP="0042267B">
            <w:pPr>
              <w:rPr>
                <w:b/>
                <w:sz w:val="28"/>
                <w:szCs w:val="28"/>
              </w:rPr>
            </w:pPr>
          </w:p>
          <w:p w:rsidR="0042267B" w:rsidRPr="00CF5B13" w:rsidRDefault="0042267B" w:rsidP="0042267B">
            <w:pPr>
              <w:rPr>
                <w:b/>
                <w:sz w:val="28"/>
                <w:szCs w:val="28"/>
              </w:rPr>
            </w:pPr>
          </w:p>
          <w:p w:rsidR="0042267B" w:rsidRPr="00CF5B13" w:rsidRDefault="0042267B" w:rsidP="0042267B">
            <w:pPr>
              <w:jc w:val="center"/>
              <w:rPr>
                <w:b/>
                <w:sz w:val="28"/>
                <w:szCs w:val="28"/>
              </w:rPr>
            </w:pPr>
            <w:r w:rsidRPr="00CF5B13">
              <w:rPr>
                <w:noProof/>
                <w:lang w:val="cs-CZ" w:eastAsia="cs-CZ"/>
              </w:rPr>
              <w:drawing>
                <wp:inline distT="0" distB="0" distL="0" distR="0" wp14:anchorId="6D63FA00" wp14:editId="2F7ABB6D">
                  <wp:extent cx="3589020" cy="2933700"/>
                  <wp:effectExtent l="0" t="0" r="11430" b="0"/>
                  <wp:docPr id="2" name="Graf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2267B" w:rsidRPr="00CF5B13" w:rsidRDefault="0042267B" w:rsidP="0042267B">
            <w:pPr>
              <w:pStyle w:val="Odstavecseseznamem"/>
              <w:ind w:left="0"/>
              <w:jc w:val="center"/>
              <w:rPr>
                <w:rFonts w:ascii="Times New Roman" w:eastAsia="Times New Roman" w:hAnsi="Times New Roman" w:cs="Times New Roman"/>
                <w:sz w:val="24"/>
                <w:szCs w:val="24"/>
                <w:lang w:val="cs-CZ"/>
              </w:rPr>
            </w:pPr>
          </w:p>
          <w:p w:rsidR="0042267B" w:rsidRPr="00CF5B13" w:rsidRDefault="0042267B" w:rsidP="0042267B">
            <w:pPr>
              <w:pStyle w:val="Odstavecseseznamem"/>
              <w:ind w:left="0"/>
              <w:jc w:val="center"/>
              <w:rPr>
                <w:rFonts w:ascii="Times New Roman" w:eastAsia="Times New Roman" w:hAnsi="Times New Roman" w:cs="Times New Roman"/>
                <w:sz w:val="24"/>
                <w:szCs w:val="24"/>
                <w:lang w:val="cs-CZ"/>
              </w:rPr>
            </w:pPr>
          </w:p>
          <w:p w:rsidR="0042267B" w:rsidRPr="00CF5B13" w:rsidRDefault="0042267B" w:rsidP="0042267B">
            <w:pPr>
              <w:pStyle w:val="Odstavecseseznamem"/>
              <w:ind w:left="0"/>
              <w:jc w:val="center"/>
              <w:rPr>
                <w:rFonts w:ascii="Times New Roman" w:eastAsia="Times New Roman" w:hAnsi="Times New Roman" w:cs="Times New Roman"/>
                <w:sz w:val="24"/>
                <w:szCs w:val="24"/>
                <w:lang w:val="cs-CZ"/>
              </w:rPr>
            </w:pPr>
            <w:r w:rsidRPr="00CF5B13">
              <w:rPr>
                <w:noProof/>
                <w:lang w:val="cs-CZ" w:eastAsia="cs-CZ"/>
              </w:rPr>
              <w:drawing>
                <wp:inline distT="0" distB="0" distL="0" distR="0" wp14:anchorId="6C4F22DD" wp14:editId="32F9672E">
                  <wp:extent cx="1859280" cy="1676400"/>
                  <wp:effectExtent l="0" t="0" r="7620" b="0"/>
                  <wp:docPr id="3" name="Graf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2267B" w:rsidRPr="00CF5B13" w:rsidRDefault="0042267B" w:rsidP="0042267B">
            <w:pPr>
              <w:rPr>
                <w:b/>
                <w:sz w:val="28"/>
                <w:szCs w:val="28"/>
              </w:rPr>
            </w:pPr>
          </w:p>
          <w:p w:rsidR="0042267B" w:rsidRPr="00CF5B13" w:rsidRDefault="0042267B" w:rsidP="0042267B">
            <w:pPr>
              <w:pStyle w:val="Odstavecseseznamem"/>
              <w:ind w:left="0"/>
              <w:jc w:val="both"/>
              <w:rPr>
                <w:rFonts w:ascii="Times New Roman" w:eastAsia="Times New Roman" w:hAnsi="Times New Roman" w:cs="Times New Roman"/>
                <w:sz w:val="24"/>
                <w:szCs w:val="24"/>
                <w:lang w:val="cs-CZ"/>
              </w:rPr>
            </w:pPr>
            <w:r w:rsidRPr="00CF5B13">
              <w:rPr>
                <w:rFonts w:ascii="Times New Roman" w:eastAsia="Times New Roman" w:hAnsi="Times New Roman" w:cs="Times New Roman"/>
                <w:sz w:val="24"/>
                <w:szCs w:val="24"/>
                <w:lang w:val="cs-CZ"/>
              </w:rPr>
              <w:t xml:space="preserve">Při náboru žen a mužů je uplatňován rovný přístup ke všem uchazečům/uchazečkám, pokud splní všechny zákonné podmínky povolání do služebního poměru (je občanem/občankou ČR starší 18 let, složil/a vojenskou přísahu, vykonal/a základní nebo náhradní vojenskou službu, není ke dni povolání do služebního poměru členem/členkou politické strany, politického hnutí a odborové organizace, je trestně bezúhonný/á, je zdravotně způsobilý/á k výkonu služby, splňuje kvalifikační předpoklady stanovené pro služební zařazení). </w:t>
            </w:r>
          </w:p>
          <w:p w:rsidR="0042267B" w:rsidRPr="00CF5B13" w:rsidRDefault="0042267B" w:rsidP="0042267B">
            <w:pPr>
              <w:pStyle w:val="Odstavecseseznamem"/>
              <w:ind w:left="0"/>
              <w:jc w:val="both"/>
              <w:rPr>
                <w:rFonts w:ascii="Times New Roman" w:eastAsia="Times New Roman" w:hAnsi="Times New Roman" w:cs="Times New Roman"/>
                <w:sz w:val="24"/>
                <w:szCs w:val="24"/>
                <w:lang w:val="cs-CZ"/>
              </w:rPr>
            </w:pPr>
            <w:r w:rsidRPr="00CF5B13">
              <w:rPr>
                <w:rFonts w:ascii="Times New Roman" w:eastAsia="Times New Roman" w:hAnsi="Times New Roman" w:cs="Times New Roman"/>
                <w:sz w:val="24"/>
                <w:szCs w:val="24"/>
                <w:lang w:val="cs-CZ"/>
              </w:rPr>
              <w:t xml:space="preserve">Ženy zařazené do výběru jsou v rámci přípravy svědomité; v průběhu kurzu základní přípravy zdolávají problémy dobře, nerezignují. Negativem stále zůstává to, že při doplňování některých pozic (např. technik, elektromechanik, řidič) nedosahují požadované kvalifikace, neboť platí, že v civilní sféře je studium těchto oborů ve své většině záležitostí mužů. </w:t>
            </w:r>
          </w:p>
          <w:p w:rsidR="00471A15" w:rsidRPr="00CF5B13" w:rsidRDefault="00471A15" w:rsidP="00471A15">
            <w:pPr>
              <w:jc w:val="both"/>
              <w:rPr>
                <w:rFonts w:ascii="Times New Roman" w:eastAsia="Times New Roman" w:hAnsi="Times New Roman" w:cs="Times New Roman"/>
                <w:sz w:val="24"/>
                <w:szCs w:val="24"/>
                <w:lang w:val="cs-CZ"/>
              </w:rPr>
            </w:pPr>
          </w:p>
          <w:p w:rsidR="0042267B" w:rsidRPr="00CF5B13" w:rsidRDefault="0042267B" w:rsidP="0042267B">
            <w:pPr>
              <w:pStyle w:val="Odstavecseseznamem"/>
              <w:ind w:left="0"/>
              <w:jc w:val="center"/>
              <w:rPr>
                <w:rFonts w:ascii="Times New Roman" w:eastAsia="Times New Roman" w:hAnsi="Times New Roman" w:cs="Times New Roman"/>
                <w:sz w:val="24"/>
                <w:szCs w:val="24"/>
                <w:lang w:val="cs-CZ"/>
              </w:rPr>
            </w:pPr>
          </w:p>
          <w:p w:rsidR="0042267B" w:rsidRPr="00CF5B13" w:rsidRDefault="0042267B" w:rsidP="0042267B">
            <w:pPr>
              <w:pStyle w:val="Odstavecseseznamem"/>
              <w:ind w:left="0"/>
              <w:jc w:val="center"/>
              <w:rPr>
                <w:rFonts w:ascii="Times New Roman" w:eastAsia="Times New Roman" w:hAnsi="Times New Roman" w:cs="Times New Roman"/>
                <w:sz w:val="24"/>
                <w:szCs w:val="24"/>
                <w:lang w:val="cs-CZ"/>
              </w:rPr>
            </w:pPr>
            <w:r w:rsidRPr="00CF5B13">
              <w:rPr>
                <w:noProof/>
                <w:lang w:val="cs-CZ" w:eastAsia="cs-CZ"/>
              </w:rPr>
              <w:lastRenderedPageBreak/>
              <w:drawing>
                <wp:inline distT="0" distB="0" distL="0" distR="0" wp14:anchorId="488E3A6E" wp14:editId="13647C2F">
                  <wp:extent cx="4785360" cy="3185160"/>
                  <wp:effectExtent l="0" t="0" r="15240" b="15240"/>
                  <wp:docPr id="5" name="Graf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2267B" w:rsidRPr="00CF5B13" w:rsidRDefault="0042267B" w:rsidP="0042267B">
            <w:pPr>
              <w:pStyle w:val="Odstavecseseznamem"/>
              <w:ind w:left="0"/>
              <w:jc w:val="both"/>
              <w:rPr>
                <w:rFonts w:ascii="Times New Roman" w:eastAsia="Times New Roman" w:hAnsi="Times New Roman" w:cs="Times New Roman"/>
                <w:sz w:val="24"/>
                <w:szCs w:val="24"/>
                <w:lang w:val="cs-CZ"/>
              </w:rPr>
            </w:pPr>
          </w:p>
          <w:p w:rsidR="0042267B" w:rsidRPr="00CF5B13" w:rsidRDefault="0042267B" w:rsidP="0042267B">
            <w:pPr>
              <w:pStyle w:val="Odstavecseseznamem"/>
              <w:ind w:left="0"/>
              <w:jc w:val="center"/>
              <w:rPr>
                <w:rFonts w:ascii="Times New Roman" w:eastAsia="Times New Roman" w:hAnsi="Times New Roman" w:cs="Times New Roman"/>
                <w:sz w:val="24"/>
                <w:szCs w:val="24"/>
                <w:lang w:val="cs-CZ"/>
              </w:rPr>
            </w:pPr>
            <w:r w:rsidRPr="00CF5B13">
              <w:rPr>
                <w:noProof/>
                <w:lang w:val="cs-CZ" w:eastAsia="cs-CZ"/>
              </w:rPr>
              <w:drawing>
                <wp:inline distT="0" distB="0" distL="0" distR="0" wp14:anchorId="7E155C6D" wp14:editId="1487B058">
                  <wp:extent cx="4762500" cy="3261360"/>
                  <wp:effectExtent l="0" t="0" r="0" b="15240"/>
                  <wp:docPr id="10" name="Graf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2267B" w:rsidRPr="00CF5B13" w:rsidRDefault="0042267B" w:rsidP="0042267B">
            <w:pPr>
              <w:pStyle w:val="Odstavecseseznamem"/>
              <w:ind w:left="0"/>
              <w:jc w:val="both"/>
              <w:rPr>
                <w:rFonts w:ascii="Times New Roman" w:eastAsia="Times New Roman" w:hAnsi="Times New Roman" w:cs="Times New Roman"/>
                <w:sz w:val="24"/>
                <w:szCs w:val="24"/>
                <w:lang w:val="cs-CZ"/>
              </w:rPr>
            </w:pPr>
          </w:p>
          <w:p w:rsidR="00936723" w:rsidRPr="00CF5B13" w:rsidRDefault="00936723" w:rsidP="0042267B">
            <w:pPr>
              <w:pStyle w:val="Odstavecseseznamem"/>
              <w:ind w:left="0"/>
              <w:jc w:val="both"/>
              <w:rPr>
                <w:rFonts w:ascii="Times New Roman" w:eastAsia="Times New Roman" w:hAnsi="Times New Roman" w:cs="Times New Roman"/>
                <w:sz w:val="24"/>
                <w:szCs w:val="24"/>
                <w:lang w:val="cs-CZ"/>
              </w:rPr>
            </w:pPr>
          </w:p>
          <w:p w:rsidR="00936723" w:rsidRPr="00CF5B13" w:rsidRDefault="00936723" w:rsidP="0042267B">
            <w:pPr>
              <w:pStyle w:val="Odstavecseseznamem"/>
              <w:ind w:left="0"/>
              <w:jc w:val="both"/>
              <w:rPr>
                <w:rFonts w:ascii="Times New Roman" w:eastAsia="Times New Roman" w:hAnsi="Times New Roman" w:cs="Times New Roman"/>
                <w:sz w:val="24"/>
                <w:szCs w:val="24"/>
                <w:lang w:val="cs-CZ"/>
              </w:rPr>
            </w:pPr>
          </w:p>
          <w:p w:rsidR="006017F7" w:rsidRPr="00CF5B13" w:rsidRDefault="006017F7" w:rsidP="006017F7">
            <w:pPr>
              <w:pStyle w:val="Odstavecseseznamem"/>
              <w:spacing w:before="240"/>
              <w:ind w:left="0"/>
              <w:jc w:val="both"/>
              <w:rPr>
                <w:rFonts w:ascii="Times New Roman" w:eastAsia="Times New Roman" w:hAnsi="Times New Roman" w:cs="Times New Roman"/>
                <w:sz w:val="24"/>
                <w:szCs w:val="24"/>
                <w:lang w:val="cs-CZ"/>
              </w:rPr>
            </w:pPr>
            <w:r w:rsidRPr="00CF5B13">
              <w:rPr>
                <w:rFonts w:ascii="Times New Roman" w:eastAsia="Times New Roman" w:hAnsi="Times New Roman" w:cs="Times New Roman"/>
                <w:sz w:val="24"/>
                <w:szCs w:val="24"/>
                <w:lang w:val="cs-CZ"/>
              </w:rPr>
              <w:t xml:space="preserve">Následující graf znázorňuje průběh zvyšujícího se podílu vojákyň na celkovém počtu vojenského personálu - vybrané roky:  </w:t>
            </w:r>
          </w:p>
          <w:p w:rsidR="006017F7" w:rsidRPr="00CF5B13" w:rsidRDefault="006017F7" w:rsidP="006017F7">
            <w:pPr>
              <w:pStyle w:val="Odstavecseseznamem"/>
              <w:ind w:left="0"/>
              <w:jc w:val="center"/>
              <w:rPr>
                <w:rFonts w:ascii="Times New Roman" w:eastAsia="Times New Roman" w:hAnsi="Times New Roman" w:cs="Times New Roman"/>
                <w:sz w:val="24"/>
                <w:szCs w:val="24"/>
                <w:lang w:val="cs-CZ"/>
              </w:rPr>
            </w:pPr>
            <w:r w:rsidRPr="00CF5B13">
              <w:rPr>
                <w:noProof/>
                <w:lang w:val="cs-CZ" w:eastAsia="cs-CZ"/>
              </w:rPr>
              <w:lastRenderedPageBreak/>
              <w:drawing>
                <wp:inline distT="0" distB="0" distL="0" distR="0" wp14:anchorId="69A87775" wp14:editId="7EFBA163">
                  <wp:extent cx="5295900" cy="2743200"/>
                  <wp:effectExtent l="0" t="0" r="0" b="0"/>
                  <wp:docPr id="6" name="Graf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017F7" w:rsidRPr="00CF5B13" w:rsidRDefault="006017F7" w:rsidP="006017F7">
            <w:pPr>
              <w:pStyle w:val="Odstavecseseznamem"/>
              <w:ind w:left="0"/>
              <w:jc w:val="both"/>
              <w:rPr>
                <w:rFonts w:ascii="Times New Roman" w:eastAsia="Times New Roman" w:hAnsi="Times New Roman" w:cs="Times New Roman"/>
                <w:sz w:val="24"/>
                <w:szCs w:val="24"/>
                <w:lang w:val="cs-CZ"/>
              </w:rPr>
            </w:pPr>
          </w:p>
          <w:p w:rsidR="006017F7" w:rsidRPr="00CF5B13" w:rsidRDefault="006017F7" w:rsidP="006017F7">
            <w:pPr>
              <w:pStyle w:val="Odstavecseseznamem"/>
              <w:ind w:left="0"/>
              <w:jc w:val="center"/>
              <w:rPr>
                <w:rFonts w:ascii="Times New Roman" w:eastAsia="Times New Roman" w:hAnsi="Times New Roman" w:cs="Times New Roman"/>
                <w:sz w:val="24"/>
                <w:szCs w:val="24"/>
                <w:lang w:val="cs-CZ"/>
              </w:rPr>
            </w:pPr>
            <w:r w:rsidRPr="00CF5B13">
              <w:rPr>
                <w:noProof/>
                <w:lang w:val="cs-CZ" w:eastAsia="cs-CZ"/>
              </w:rPr>
              <w:drawing>
                <wp:inline distT="0" distB="0" distL="0" distR="0" wp14:anchorId="04FB9979" wp14:editId="433B5C6C">
                  <wp:extent cx="5242560" cy="2743200"/>
                  <wp:effectExtent l="0" t="0" r="15240" b="0"/>
                  <wp:docPr id="9" name="Graf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017F7" w:rsidRPr="00CF5B13" w:rsidRDefault="006017F7" w:rsidP="006017F7">
            <w:pPr>
              <w:pStyle w:val="Odstavecseseznamem"/>
              <w:ind w:left="0"/>
              <w:jc w:val="both"/>
              <w:rPr>
                <w:rFonts w:ascii="Times New Roman" w:eastAsia="Times New Roman" w:hAnsi="Times New Roman" w:cs="Times New Roman"/>
                <w:sz w:val="24"/>
                <w:szCs w:val="24"/>
                <w:lang w:val="cs-CZ"/>
              </w:rPr>
            </w:pPr>
          </w:p>
          <w:p w:rsidR="0042267B" w:rsidRPr="00CF5B13" w:rsidRDefault="0042267B" w:rsidP="00471A15">
            <w:pPr>
              <w:jc w:val="both"/>
              <w:rPr>
                <w:rFonts w:ascii="Times New Roman" w:eastAsia="Times New Roman" w:hAnsi="Times New Roman" w:cs="Times New Roman"/>
                <w:sz w:val="24"/>
                <w:szCs w:val="24"/>
                <w:lang w:val="cs-CZ"/>
              </w:rPr>
            </w:pPr>
          </w:p>
          <w:p w:rsidR="00AF6E5A" w:rsidRPr="00CF5B13" w:rsidRDefault="00AF6E5A" w:rsidP="00471A15">
            <w:pPr>
              <w:jc w:val="both"/>
              <w:rPr>
                <w:rFonts w:ascii="Times New Roman" w:eastAsia="Times New Roman" w:hAnsi="Times New Roman" w:cs="Times New Roman"/>
                <w:sz w:val="24"/>
                <w:szCs w:val="24"/>
                <w:lang w:val="cs-CZ"/>
              </w:rPr>
            </w:pPr>
          </w:p>
          <w:p w:rsidR="00AF6E5A" w:rsidRPr="00CF5B13" w:rsidRDefault="00AF6E5A" w:rsidP="003C620E">
            <w:pPr>
              <w:pStyle w:val="Odstavecseseznamem"/>
              <w:numPr>
                <w:ilvl w:val="0"/>
                <w:numId w:val="3"/>
              </w:numPr>
              <w:jc w:val="both"/>
              <w:rPr>
                <w:rFonts w:ascii="Times New Roman" w:eastAsia="Times New Roman" w:hAnsi="Times New Roman" w:cs="Times New Roman"/>
                <w:b/>
                <w:sz w:val="24"/>
                <w:szCs w:val="24"/>
                <w:u w:val="single"/>
                <w:lang w:val="cs-CZ"/>
              </w:rPr>
            </w:pPr>
            <w:r w:rsidRPr="00CF5B13">
              <w:rPr>
                <w:rFonts w:ascii="Times New Roman" w:eastAsia="Times New Roman" w:hAnsi="Times New Roman" w:cs="Times New Roman"/>
                <w:b/>
                <w:sz w:val="24"/>
                <w:szCs w:val="24"/>
                <w:u w:val="single"/>
                <w:lang w:val="cs-CZ"/>
              </w:rPr>
              <w:t>Ministerstvo vnitra</w:t>
            </w:r>
          </w:p>
          <w:p w:rsidR="00AF6E5A" w:rsidRPr="00CF5B13" w:rsidRDefault="00AF6E5A" w:rsidP="00471A15">
            <w:pPr>
              <w:jc w:val="both"/>
              <w:rPr>
                <w:rFonts w:ascii="Times New Roman" w:eastAsia="Times New Roman" w:hAnsi="Times New Roman" w:cs="Times New Roman"/>
                <w:sz w:val="24"/>
                <w:szCs w:val="24"/>
                <w:lang w:val="cs-CZ"/>
              </w:rPr>
            </w:pPr>
          </w:p>
          <w:p w:rsidR="00783C96" w:rsidRPr="00CF5B13" w:rsidRDefault="00783C96" w:rsidP="00471A15">
            <w:pPr>
              <w:jc w:val="both"/>
              <w:rPr>
                <w:rFonts w:ascii="Times New Roman" w:hAnsi="Times New Roman" w:cs="Times New Roman"/>
                <w:sz w:val="24"/>
                <w:szCs w:val="24"/>
                <w:lang w:val="cs-CZ"/>
              </w:rPr>
            </w:pPr>
            <w:r w:rsidRPr="00CF5B13">
              <w:rPr>
                <w:rFonts w:ascii="Times New Roman" w:hAnsi="Times New Roman" w:cs="Times New Roman"/>
                <w:sz w:val="24"/>
                <w:szCs w:val="24"/>
                <w:lang w:val="cs-CZ"/>
              </w:rPr>
              <w:t>Úspěšnost žen a mužů v rámci přijímacích řízení k PČR:</w:t>
            </w:r>
          </w:p>
          <w:p w:rsidR="00783C96" w:rsidRPr="00CF5B13" w:rsidRDefault="00783C96" w:rsidP="00471A15">
            <w:pPr>
              <w:jc w:val="both"/>
              <w:rPr>
                <w:rFonts w:ascii="Times New Roman" w:hAnsi="Times New Roman" w:cs="Times New Roman"/>
                <w:sz w:val="24"/>
                <w:szCs w:val="24"/>
                <w:lang w:val="cs-CZ"/>
              </w:rPr>
            </w:pPr>
          </w:p>
          <w:p w:rsidR="00783C96" w:rsidRPr="00CF5B13" w:rsidRDefault="00783C96" w:rsidP="00471A15">
            <w:pPr>
              <w:jc w:val="both"/>
              <w:rPr>
                <w:rFonts w:ascii="Times New Roman" w:eastAsia="Times New Roman" w:hAnsi="Times New Roman" w:cs="Times New Roman"/>
                <w:sz w:val="24"/>
                <w:szCs w:val="24"/>
                <w:lang w:val="cs-CZ"/>
              </w:rPr>
            </w:pPr>
            <w:r w:rsidRPr="00CF5B13">
              <w:rPr>
                <w:rFonts w:ascii="Times New Roman" w:eastAsia="Times New Roman" w:hAnsi="Times New Roman" w:cs="Times New Roman"/>
                <w:noProof/>
                <w:sz w:val="24"/>
                <w:szCs w:val="24"/>
                <w:lang w:val="cs-CZ" w:eastAsia="cs-CZ"/>
              </w:rPr>
              <w:lastRenderedPageBreak/>
              <w:drawing>
                <wp:inline distT="0" distB="0" distL="0" distR="0" wp14:anchorId="65003CCA" wp14:editId="552904EC">
                  <wp:extent cx="6204718" cy="4162425"/>
                  <wp:effectExtent l="0" t="0" r="5715"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_mv.jpg"/>
                          <pic:cNvPicPr/>
                        </pic:nvPicPr>
                        <pic:blipFill>
                          <a:blip r:embed="rId17">
                            <a:extLst>
                              <a:ext uri="{28A0092B-C50C-407E-A947-70E740481C1C}">
                                <a14:useLocalDpi xmlns:a14="http://schemas.microsoft.com/office/drawing/2010/main" val="0"/>
                              </a:ext>
                            </a:extLst>
                          </a:blip>
                          <a:stretch>
                            <a:fillRect/>
                          </a:stretch>
                        </pic:blipFill>
                        <pic:spPr>
                          <a:xfrm>
                            <a:off x="0" y="0"/>
                            <a:ext cx="6206895" cy="4163885"/>
                          </a:xfrm>
                          <a:prstGeom prst="rect">
                            <a:avLst/>
                          </a:prstGeom>
                        </pic:spPr>
                      </pic:pic>
                    </a:graphicData>
                  </a:graphic>
                </wp:inline>
              </w:drawing>
            </w:r>
          </w:p>
          <w:p w:rsidR="00783C96" w:rsidRPr="00CF5B13" w:rsidRDefault="00783C96" w:rsidP="00471A15">
            <w:pPr>
              <w:jc w:val="both"/>
              <w:rPr>
                <w:rFonts w:ascii="Times New Roman" w:eastAsia="Times New Roman" w:hAnsi="Times New Roman" w:cs="Times New Roman"/>
                <w:sz w:val="24"/>
                <w:szCs w:val="24"/>
                <w:lang w:val="cs-CZ"/>
              </w:rPr>
            </w:pPr>
          </w:p>
          <w:p w:rsidR="00783C96" w:rsidRPr="00CF5B13" w:rsidRDefault="00783C96" w:rsidP="00471A15">
            <w:pPr>
              <w:jc w:val="both"/>
              <w:rPr>
                <w:rFonts w:ascii="Times New Roman" w:eastAsia="Times New Roman" w:hAnsi="Times New Roman" w:cs="Times New Roman"/>
                <w:sz w:val="24"/>
                <w:szCs w:val="24"/>
                <w:lang w:val="cs-CZ"/>
              </w:rPr>
            </w:pPr>
          </w:p>
        </w:tc>
      </w:tr>
      <w:tr w:rsidR="00471A15" w:rsidRPr="00CF5B13" w:rsidTr="00700A08">
        <w:tc>
          <w:tcPr>
            <w:tcW w:w="6883" w:type="dxa"/>
          </w:tcPr>
          <w:p w:rsidR="00471A15" w:rsidRPr="00CF5B13" w:rsidRDefault="00471A15" w:rsidP="00471A15">
            <w:pPr>
              <w:pStyle w:val="Odstavecseseznamem"/>
              <w:ind w:left="0"/>
              <w:jc w:val="both"/>
              <w:rPr>
                <w:rFonts w:ascii="Times New Roman" w:eastAsia="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lastRenderedPageBreak/>
              <w:t>1.12 Jedenkrát ročně uskutečnit na vybraných českých ZÚ setkání s obránkyněmi lidských práv, novinářkami či NNO vedenými ženami.</w:t>
            </w:r>
          </w:p>
          <w:p w:rsidR="00471A15" w:rsidRPr="00CF5B13" w:rsidRDefault="00471A15" w:rsidP="00471A15">
            <w:pPr>
              <w:pStyle w:val="Odstavecseseznamem"/>
              <w:ind w:left="0"/>
              <w:jc w:val="both"/>
              <w:rPr>
                <w:rFonts w:ascii="Times New Roman" w:eastAsia="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t>(MZV)</w:t>
            </w:r>
          </w:p>
        </w:tc>
        <w:tc>
          <w:tcPr>
            <w:tcW w:w="3465" w:type="dxa"/>
            <w:gridSpan w:val="2"/>
          </w:tcPr>
          <w:p w:rsidR="00471A15" w:rsidRPr="00CF5B13" w:rsidRDefault="00471A15" w:rsidP="00330ED7">
            <w:pPr>
              <w:pStyle w:val="Odstavecseseznamem"/>
              <w:ind w:left="0"/>
              <w:jc w:val="both"/>
              <w:rPr>
                <w:rFonts w:ascii="Times New Roman" w:eastAsia="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t xml:space="preserve"> </w:t>
            </w:r>
            <w:r w:rsidR="00330ED7" w:rsidRPr="00CF5B13">
              <w:rPr>
                <w:rFonts w:ascii="Times New Roman" w:eastAsia="Times New Roman" w:hAnsi="Times New Roman" w:cs="Times New Roman"/>
                <w:b/>
                <w:color w:val="4472C4" w:themeColor="accent5"/>
                <w:sz w:val="24"/>
                <w:szCs w:val="24"/>
                <w:lang w:val="cs-CZ"/>
              </w:rPr>
              <w:t xml:space="preserve">Splněno </w:t>
            </w:r>
          </w:p>
        </w:tc>
      </w:tr>
      <w:tr w:rsidR="00471A15" w:rsidRPr="00412C4E" w:rsidTr="005C2738">
        <w:tc>
          <w:tcPr>
            <w:tcW w:w="10348" w:type="dxa"/>
            <w:gridSpan w:val="3"/>
          </w:tcPr>
          <w:p w:rsidR="00330ED7" w:rsidRPr="00CF5B13" w:rsidRDefault="00471A15" w:rsidP="00494552">
            <w:pPr>
              <w:pStyle w:val="Odstavecseseznamem"/>
              <w:spacing w:before="120"/>
              <w:ind w:left="0"/>
              <w:jc w:val="both"/>
              <w:rPr>
                <w:rFonts w:ascii="Times New Roman" w:hAnsi="Times New Roman" w:cs="Times New Roman"/>
                <w:color w:val="000000"/>
                <w:sz w:val="24"/>
                <w:szCs w:val="24"/>
                <w:lang w:val="cs-CZ"/>
              </w:rPr>
            </w:pPr>
            <w:r w:rsidRPr="00CF5B13">
              <w:rPr>
                <w:rFonts w:ascii="Times New Roman" w:eastAsia="Calibri" w:hAnsi="Times New Roman" w:cs="Times New Roman"/>
                <w:color w:val="000000"/>
                <w:sz w:val="24"/>
                <w:szCs w:val="24"/>
                <w:lang w:val="cs-CZ"/>
              </w:rPr>
              <w:t xml:space="preserve"> </w:t>
            </w:r>
            <w:r w:rsidR="00330ED7" w:rsidRPr="00CF5B13">
              <w:rPr>
                <w:rFonts w:ascii="Times New Roman" w:hAnsi="Times New Roman" w:cs="Times New Roman"/>
                <w:color w:val="000000"/>
                <w:sz w:val="24"/>
                <w:szCs w:val="24"/>
                <w:lang w:val="cs-CZ"/>
              </w:rPr>
              <w:t xml:space="preserve">U příležitosti Dne lidských práv dne 10. prosince se </w:t>
            </w:r>
            <w:r w:rsidR="00047ED7" w:rsidRPr="00CF5B13">
              <w:rPr>
                <w:rFonts w:ascii="Times New Roman" w:hAnsi="Times New Roman" w:cs="Times New Roman"/>
                <w:color w:val="000000"/>
                <w:sz w:val="24"/>
                <w:szCs w:val="24"/>
                <w:lang w:val="cs-CZ"/>
              </w:rPr>
              <w:t xml:space="preserve">i v r. 2022 </w:t>
            </w:r>
            <w:r w:rsidR="00330ED7" w:rsidRPr="00CF5B13">
              <w:rPr>
                <w:rFonts w:ascii="Times New Roman" w:hAnsi="Times New Roman" w:cs="Times New Roman"/>
                <w:color w:val="000000"/>
                <w:sz w:val="24"/>
                <w:szCs w:val="24"/>
                <w:lang w:val="cs-CZ"/>
              </w:rPr>
              <w:t>tradičně kon</w:t>
            </w:r>
            <w:r w:rsidR="000F6E27" w:rsidRPr="00CF5B13">
              <w:rPr>
                <w:rFonts w:ascii="Times New Roman" w:hAnsi="Times New Roman" w:cs="Times New Roman"/>
                <w:color w:val="000000"/>
                <w:sz w:val="24"/>
                <w:szCs w:val="24"/>
                <w:lang w:val="cs-CZ"/>
              </w:rPr>
              <w:t>alo</w:t>
            </w:r>
            <w:r w:rsidR="00330ED7" w:rsidRPr="00CF5B13">
              <w:rPr>
                <w:rFonts w:ascii="Times New Roman" w:hAnsi="Times New Roman" w:cs="Times New Roman"/>
                <w:color w:val="000000"/>
                <w:sz w:val="24"/>
                <w:szCs w:val="24"/>
                <w:lang w:val="cs-CZ"/>
              </w:rPr>
              <w:t xml:space="preserve"> setkání p. ministra zahraničních věcí s</w:t>
            </w:r>
            <w:r w:rsidR="00B3746D" w:rsidRPr="00CF5B13">
              <w:rPr>
                <w:rFonts w:ascii="Times New Roman" w:hAnsi="Times New Roman" w:cs="Times New Roman"/>
                <w:color w:val="000000"/>
                <w:sz w:val="24"/>
                <w:szCs w:val="24"/>
                <w:lang w:val="cs-CZ"/>
              </w:rPr>
              <w:t>e zahraničními</w:t>
            </w:r>
            <w:r w:rsidR="00330ED7" w:rsidRPr="00CF5B13">
              <w:rPr>
                <w:rFonts w:ascii="Times New Roman" w:hAnsi="Times New Roman" w:cs="Times New Roman"/>
                <w:color w:val="000000"/>
                <w:sz w:val="24"/>
                <w:szCs w:val="24"/>
                <w:lang w:val="cs-CZ"/>
              </w:rPr>
              <w:t xml:space="preserve"> obránci a obránkyněmi lidských práv</w:t>
            </w:r>
            <w:r w:rsidR="00B3746D" w:rsidRPr="00CF5B13">
              <w:rPr>
                <w:rFonts w:ascii="Times New Roman" w:hAnsi="Times New Roman" w:cs="Times New Roman"/>
                <w:color w:val="000000"/>
                <w:sz w:val="24"/>
                <w:szCs w:val="24"/>
                <w:lang w:val="cs-CZ"/>
              </w:rPr>
              <w:t xml:space="preserve"> žijícími v Česku</w:t>
            </w:r>
            <w:r w:rsidR="00330ED7" w:rsidRPr="00CF5B13">
              <w:rPr>
                <w:rFonts w:ascii="Times New Roman" w:hAnsi="Times New Roman" w:cs="Times New Roman"/>
                <w:color w:val="000000"/>
                <w:sz w:val="24"/>
                <w:szCs w:val="24"/>
                <w:lang w:val="cs-CZ"/>
              </w:rPr>
              <w:t xml:space="preserve">; analogicky se k danému datu setkávají celosvětově také čeští tituláři a titulářky s obránci/obránkyněmi lidských práv v zemích vyslání (tam, kde to je možné a účelné). Kromě toho </w:t>
            </w:r>
            <w:r w:rsidR="000F6E27" w:rsidRPr="00CF5B13">
              <w:rPr>
                <w:rFonts w:ascii="Times New Roman" w:hAnsi="Times New Roman" w:cs="Times New Roman"/>
                <w:color w:val="000000"/>
                <w:sz w:val="24"/>
                <w:szCs w:val="24"/>
                <w:lang w:val="cs-CZ"/>
              </w:rPr>
              <w:t xml:space="preserve">průběžně </w:t>
            </w:r>
            <w:r w:rsidR="00330ED7" w:rsidRPr="00CF5B13">
              <w:rPr>
                <w:rFonts w:ascii="Times New Roman" w:hAnsi="Times New Roman" w:cs="Times New Roman"/>
                <w:color w:val="000000"/>
                <w:sz w:val="24"/>
                <w:szCs w:val="24"/>
                <w:lang w:val="cs-CZ"/>
              </w:rPr>
              <w:t>probíhají na úrovni ústředí i zastupitelských úřadů ad hoc setkání se zástupci a zástupkyněmi nevládních organizací a nezávislých médií. Setkání nejsou nijak genderově profilována, v praxi na nich jsou ženy zastoupeny.</w:t>
            </w:r>
          </w:p>
          <w:p w:rsidR="00471A15" w:rsidRPr="00CF5B13" w:rsidRDefault="00471A15" w:rsidP="00471A15">
            <w:pPr>
              <w:autoSpaceDE w:val="0"/>
              <w:autoSpaceDN w:val="0"/>
              <w:adjustRightInd w:val="0"/>
              <w:jc w:val="both"/>
              <w:rPr>
                <w:rFonts w:ascii="Times New Roman" w:eastAsia="Calibri" w:hAnsi="Times New Roman" w:cs="Times New Roman"/>
                <w:color w:val="000000"/>
                <w:sz w:val="24"/>
                <w:szCs w:val="24"/>
                <w:lang w:val="cs-CZ"/>
              </w:rPr>
            </w:pPr>
          </w:p>
        </w:tc>
      </w:tr>
      <w:tr w:rsidR="00471A15" w:rsidRPr="00CF5B13" w:rsidTr="00700A08">
        <w:tc>
          <w:tcPr>
            <w:tcW w:w="6883" w:type="dxa"/>
          </w:tcPr>
          <w:p w:rsidR="00471A15" w:rsidRPr="00CF5B13" w:rsidRDefault="00471A15" w:rsidP="00471A15">
            <w:pPr>
              <w:pStyle w:val="Odstavecseseznamem"/>
              <w:ind w:left="0"/>
              <w:jc w:val="both"/>
              <w:rPr>
                <w:rFonts w:ascii="Times New Roman" w:eastAsia="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t>1.13 Zvýšit podíl zástupců/-kyň NNO a akademického sektoru na celkovém počtu členů/-nek mezi</w:t>
            </w:r>
            <w:r w:rsidR="00047ED7" w:rsidRPr="00CF5B13">
              <w:rPr>
                <w:rFonts w:ascii="Times New Roman" w:eastAsia="Times New Roman" w:hAnsi="Times New Roman" w:cs="Times New Roman"/>
                <w:b/>
                <w:color w:val="4472C4" w:themeColor="accent5"/>
                <w:sz w:val="24"/>
                <w:szCs w:val="24"/>
                <w:lang w:val="cs-CZ"/>
              </w:rPr>
              <w:t>resort</w:t>
            </w:r>
            <w:r w:rsidRPr="00CF5B13">
              <w:rPr>
                <w:rFonts w:ascii="Times New Roman" w:eastAsia="Times New Roman" w:hAnsi="Times New Roman" w:cs="Times New Roman"/>
                <w:b/>
                <w:color w:val="4472C4" w:themeColor="accent5"/>
                <w:sz w:val="24"/>
                <w:szCs w:val="24"/>
                <w:lang w:val="cs-CZ"/>
              </w:rPr>
              <w:t>ní pracovní skupiny k Agendě WPS.</w:t>
            </w:r>
          </w:p>
          <w:p w:rsidR="00471A15" w:rsidRPr="00CF5B13" w:rsidRDefault="00471A15" w:rsidP="00494552">
            <w:pPr>
              <w:pStyle w:val="Odstavecseseznamem"/>
              <w:spacing w:after="120"/>
              <w:ind w:left="0"/>
              <w:jc w:val="both"/>
              <w:rPr>
                <w:rFonts w:ascii="Times New Roman" w:eastAsia="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t>(MZV/ÚV, NNO, akademická obec)</w:t>
            </w:r>
          </w:p>
        </w:tc>
        <w:tc>
          <w:tcPr>
            <w:tcW w:w="3465" w:type="dxa"/>
            <w:gridSpan w:val="2"/>
          </w:tcPr>
          <w:p w:rsidR="00471A15" w:rsidRPr="00CF5B13" w:rsidRDefault="00471A15" w:rsidP="00471A15">
            <w:pPr>
              <w:pStyle w:val="Odstavecseseznamem"/>
              <w:ind w:left="0"/>
              <w:rPr>
                <w:rFonts w:ascii="Times New Roman" w:eastAsia="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t>Plněno průběžně</w:t>
            </w:r>
          </w:p>
        </w:tc>
      </w:tr>
      <w:tr w:rsidR="00471A15" w:rsidRPr="00CF5B13" w:rsidTr="005C2738">
        <w:tc>
          <w:tcPr>
            <w:tcW w:w="10348" w:type="dxa"/>
            <w:gridSpan w:val="3"/>
          </w:tcPr>
          <w:p w:rsidR="00471A15" w:rsidRPr="00CF5B13" w:rsidRDefault="00471A15" w:rsidP="00494552">
            <w:pPr>
              <w:pStyle w:val="Odstavecseseznamem"/>
              <w:spacing w:before="120"/>
              <w:ind w:left="0"/>
              <w:jc w:val="both"/>
              <w:rPr>
                <w:rFonts w:ascii="Times New Roman" w:eastAsia="Times New Roman" w:hAnsi="Times New Roman" w:cs="Times New Roman"/>
                <w:sz w:val="24"/>
                <w:szCs w:val="24"/>
                <w:lang w:val="cs-CZ"/>
              </w:rPr>
            </w:pPr>
            <w:r w:rsidRPr="00CF5B13">
              <w:rPr>
                <w:rFonts w:ascii="Times New Roman" w:eastAsia="Times New Roman" w:hAnsi="Times New Roman" w:cs="Times New Roman"/>
                <w:sz w:val="24"/>
                <w:szCs w:val="24"/>
                <w:lang w:val="cs-CZ"/>
              </w:rPr>
              <w:t>Úřad vlády ČR v souladu se statutem mezi</w:t>
            </w:r>
            <w:r w:rsidR="00047ED7" w:rsidRPr="00CF5B13">
              <w:rPr>
                <w:rFonts w:ascii="Times New Roman" w:eastAsia="Times New Roman" w:hAnsi="Times New Roman" w:cs="Times New Roman"/>
                <w:sz w:val="24"/>
                <w:szCs w:val="24"/>
                <w:lang w:val="cs-CZ"/>
              </w:rPr>
              <w:t>resort</w:t>
            </w:r>
            <w:r w:rsidRPr="00CF5B13">
              <w:rPr>
                <w:rFonts w:ascii="Times New Roman" w:eastAsia="Times New Roman" w:hAnsi="Times New Roman" w:cs="Times New Roman"/>
                <w:sz w:val="24"/>
                <w:szCs w:val="24"/>
                <w:lang w:val="cs-CZ"/>
              </w:rPr>
              <w:t>ní pracovní skupiny MZV k Agendě WPS navrhl nominace 4 zástupkyň akademického a neziskového sektoru do mezi</w:t>
            </w:r>
            <w:r w:rsidR="00047ED7" w:rsidRPr="00CF5B13">
              <w:rPr>
                <w:rFonts w:ascii="Times New Roman" w:eastAsia="Times New Roman" w:hAnsi="Times New Roman" w:cs="Times New Roman"/>
                <w:sz w:val="24"/>
                <w:szCs w:val="24"/>
                <w:lang w:val="cs-CZ"/>
              </w:rPr>
              <w:t>resort</w:t>
            </w:r>
            <w:r w:rsidRPr="00CF5B13">
              <w:rPr>
                <w:rFonts w:ascii="Times New Roman" w:eastAsia="Times New Roman" w:hAnsi="Times New Roman" w:cs="Times New Roman"/>
                <w:sz w:val="24"/>
                <w:szCs w:val="24"/>
                <w:lang w:val="cs-CZ"/>
              </w:rPr>
              <w:t>ní pracovní skupiny (Kateřina Hodická, Genderové informační středisko NORA; Kateřina Krulišová, Nottingham Trent University; Míla O Sullivan, Ústav mezinárodních vztahů; Eva Valentová, Sdružení pro integraci a migraci). Tyto zástupkyně byly následně</w:t>
            </w:r>
            <w:r w:rsidR="006923C8" w:rsidRPr="00CF5B13">
              <w:rPr>
                <w:rFonts w:ascii="Times New Roman" w:eastAsia="Times New Roman" w:hAnsi="Times New Roman" w:cs="Times New Roman"/>
                <w:sz w:val="24"/>
                <w:szCs w:val="24"/>
                <w:lang w:val="cs-CZ"/>
              </w:rPr>
              <w:t xml:space="preserve"> </w:t>
            </w:r>
            <w:r w:rsidR="00E87C24" w:rsidRPr="00CF5B13">
              <w:rPr>
                <w:rFonts w:ascii="Times New Roman" w:eastAsia="Times New Roman" w:hAnsi="Times New Roman" w:cs="Times New Roman"/>
                <w:sz w:val="24"/>
                <w:szCs w:val="24"/>
                <w:lang w:val="cs-CZ"/>
              </w:rPr>
              <w:t xml:space="preserve">v roce </w:t>
            </w:r>
            <w:r w:rsidR="006923C8" w:rsidRPr="00CF5B13">
              <w:rPr>
                <w:rFonts w:ascii="Times New Roman" w:eastAsia="Times New Roman" w:hAnsi="Times New Roman" w:cs="Times New Roman"/>
                <w:sz w:val="24"/>
                <w:szCs w:val="24"/>
                <w:lang w:val="cs-CZ"/>
              </w:rPr>
              <w:t xml:space="preserve">2021 </w:t>
            </w:r>
            <w:r w:rsidRPr="00CF5B13">
              <w:rPr>
                <w:rFonts w:ascii="Times New Roman" w:eastAsia="Times New Roman" w:hAnsi="Times New Roman" w:cs="Times New Roman"/>
                <w:sz w:val="24"/>
                <w:szCs w:val="24"/>
                <w:lang w:val="cs-CZ"/>
              </w:rPr>
              <w:t>předsedou mezi</w:t>
            </w:r>
            <w:r w:rsidR="00047ED7" w:rsidRPr="00CF5B13">
              <w:rPr>
                <w:rFonts w:ascii="Times New Roman" w:eastAsia="Times New Roman" w:hAnsi="Times New Roman" w:cs="Times New Roman"/>
                <w:sz w:val="24"/>
                <w:szCs w:val="24"/>
                <w:lang w:val="cs-CZ"/>
              </w:rPr>
              <w:t>resort</w:t>
            </w:r>
            <w:r w:rsidRPr="00CF5B13">
              <w:rPr>
                <w:rFonts w:ascii="Times New Roman" w:eastAsia="Times New Roman" w:hAnsi="Times New Roman" w:cs="Times New Roman"/>
                <w:sz w:val="24"/>
                <w:szCs w:val="24"/>
                <w:lang w:val="cs-CZ"/>
              </w:rPr>
              <w:t xml:space="preserve">ní pracovní skupiny jmenovány jako řádné </w:t>
            </w:r>
            <w:r w:rsidRPr="00CF5B13">
              <w:rPr>
                <w:rFonts w:ascii="Times New Roman" w:eastAsia="Times New Roman" w:hAnsi="Times New Roman" w:cs="Times New Roman"/>
                <w:sz w:val="24"/>
                <w:szCs w:val="24"/>
                <w:lang w:val="cs-CZ"/>
              </w:rPr>
              <w:lastRenderedPageBreak/>
              <w:t xml:space="preserve">členky. </w:t>
            </w:r>
            <w:r w:rsidR="00CB76B0" w:rsidRPr="00CF5B13">
              <w:rPr>
                <w:rFonts w:ascii="Times New Roman" w:eastAsia="Times New Roman" w:hAnsi="Times New Roman" w:cs="Times New Roman"/>
                <w:sz w:val="24"/>
                <w:szCs w:val="24"/>
                <w:lang w:val="cs-CZ"/>
              </w:rPr>
              <w:t xml:space="preserve">V závěru roku 2022 </w:t>
            </w:r>
            <w:r w:rsidR="000901DC">
              <w:rPr>
                <w:rFonts w:ascii="Times New Roman" w:eastAsia="Times New Roman" w:hAnsi="Times New Roman" w:cs="Times New Roman"/>
                <w:sz w:val="24"/>
                <w:szCs w:val="24"/>
                <w:lang w:val="cs-CZ"/>
              </w:rPr>
              <w:t xml:space="preserve">zástupkyně </w:t>
            </w:r>
            <w:r w:rsidR="000901DC" w:rsidRPr="00CF5B13">
              <w:rPr>
                <w:rFonts w:ascii="Times New Roman" w:eastAsia="Times New Roman" w:hAnsi="Times New Roman" w:cs="Times New Roman"/>
                <w:sz w:val="24"/>
                <w:szCs w:val="24"/>
                <w:lang w:val="cs-CZ"/>
              </w:rPr>
              <w:t>Genderové</w:t>
            </w:r>
            <w:r w:rsidR="000901DC">
              <w:rPr>
                <w:rFonts w:ascii="Times New Roman" w:eastAsia="Times New Roman" w:hAnsi="Times New Roman" w:cs="Times New Roman"/>
                <w:sz w:val="24"/>
                <w:szCs w:val="24"/>
                <w:lang w:val="cs-CZ"/>
              </w:rPr>
              <w:t>ho</w:t>
            </w:r>
            <w:r w:rsidR="000901DC" w:rsidRPr="00CF5B13">
              <w:rPr>
                <w:rFonts w:ascii="Times New Roman" w:eastAsia="Times New Roman" w:hAnsi="Times New Roman" w:cs="Times New Roman"/>
                <w:sz w:val="24"/>
                <w:szCs w:val="24"/>
                <w:lang w:val="cs-CZ"/>
              </w:rPr>
              <w:t xml:space="preserve"> informační</w:t>
            </w:r>
            <w:r w:rsidR="000901DC">
              <w:rPr>
                <w:rFonts w:ascii="Times New Roman" w:eastAsia="Times New Roman" w:hAnsi="Times New Roman" w:cs="Times New Roman"/>
                <w:sz w:val="24"/>
                <w:szCs w:val="24"/>
                <w:lang w:val="cs-CZ"/>
              </w:rPr>
              <w:t>ho</w:t>
            </w:r>
            <w:r w:rsidR="000901DC" w:rsidRPr="00CF5B13">
              <w:rPr>
                <w:rFonts w:ascii="Times New Roman" w:eastAsia="Times New Roman" w:hAnsi="Times New Roman" w:cs="Times New Roman"/>
                <w:sz w:val="24"/>
                <w:szCs w:val="24"/>
                <w:lang w:val="cs-CZ"/>
              </w:rPr>
              <w:t xml:space="preserve"> středisk</w:t>
            </w:r>
            <w:r w:rsidR="000901DC">
              <w:rPr>
                <w:rFonts w:ascii="Times New Roman" w:eastAsia="Times New Roman" w:hAnsi="Times New Roman" w:cs="Times New Roman"/>
                <w:sz w:val="24"/>
                <w:szCs w:val="24"/>
                <w:lang w:val="cs-CZ"/>
              </w:rPr>
              <w:t>a</w:t>
            </w:r>
            <w:r w:rsidR="000901DC" w:rsidRPr="00CF5B13">
              <w:rPr>
                <w:rFonts w:ascii="Times New Roman" w:eastAsia="Times New Roman" w:hAnsi="Times New Roman" w:cs="Times New Roman"/>
                <w:sz w:val="24"/>
                <w:szCs w:val="24"/>
                <w:lang w:val="cs-CZ"/>
              </w:rPr>
              <w:t xml:space="preserve"> NORA</w:t>
            </w:r>
            <w:r w:rsidR="00CB76B0" w:rsidRPr="00CF5B13">
              <w:rPr>
                <w:rFonts w:ascii="Times New Roman" w:eastAsia="Times New Roman" w:hAnsi="Times New Roman" w:cs="Times New Roman"/>
                <w:sz w:val="24"/>
                <w:szCs w:val="24"/>
                <w:lang w:val="cs-CZ"/>
              </w:rPr>
              <w:t xml:space="preserve"> své </w:t>
            </w:r>
            <w:r w:rsidR="006923C8" w:rsidRPr="00CF5B13">
              <w:rPr>
                <w:rFonts w:ascii="Times New Roman" w:eastAsia="Times New Roman" w:hAnsi="Times New Roman" w:cs="Times New Roman"/>
                <w:sz w:val="24"/>
                <w:szCs w:val="24"/>
                <w:lang w:val="cs-CZ"/>
              </w:rPr>
              <w:t>členství ve skupině na vlastní ž</w:t>
            </w:r>
            <w:r w:rsidR="00CB76B0" w:rsidRPr="00CF5B13">
              <w:rPr>
                <w:rFonts w:ascii="Times New Roman" w:eastAsia="Times New Roman" w:hAnsi="Times New Roman" w:cs="Times New Roman"/>
                <w:sz w:val="24"/>
                <w:szCs w:val="24"/>
                <w:lang w:val="cs-CZ"/>
              </w:rPr>
              <w:t xml:space="preserve">ádost ukončila. </w:t>
            </w:r>
            <w:r w:rsidRPr="00CF5B13">
              <w:rPr>
                <w:rFonts w:ascii="Times New Roman" w:eastAsia="Times New Roman" w:hAnsi="Times New Roman" w:cs="Times New Roman"/>
                <w:sz w:val="24"/>
                <w:szCs w:val="24"/>
                <w:lang w:val="cs-CZ"/>
              </w:rPr>
              <w:t xml:space="preserve">Podíl zástupkyň NNO a akademického sektoru na celkovém počtu členů/členek je </w:t>
            </w:r>
            <w:r w:rsidR="006923C8" w:rsidRPr="00CF5B13">
              <w:rPr>
                <w:rFonts w:ascii="Times New Roman" w:eastAsia="Times New Roman" w:hAnsi="Times New Roman" w:cs="Times New Roman"/>
                <w:sz w:val="24"/>
                <w:szCs w:val="24"/>
                <w:lang w:val="cs-CZ"/>
              </w:rPr>
              <w:t xml:space="preserve">tak </w:t>
            </w:r>
            <w:r w:rsidRPr="00CF5B13">
              <w:rPr>
                <w:rFonts w:ascii="Times New Roman" w:eastAsia="Times New Roman" w:hAnsi="Times New Roman" w:cs="Times New Roman"/>
                <w:sz w:val="24"/>
                <w:szCs w:val="24"/>
                <w:lang w:val="cs-CZ"/>
              </w:rPr>
              <w:t>aktuálně</w:t>
            </w:r>
            <w:r w:rsidR="00B71F3A" w:rsidRPr="00CF5B13">
              <w:rPr>
                <w:rFonts w:ascii="Times New Roman" w:eastAsia="Times New Roman" w:hAnsi="Times New Roman" w:cs="Times New Roman"/>
                <w:sz w:val="24"/>
                <w:szCs w:val="24"/>
                <w:lang w:val="cs-CZ"/>
              </w:rPr>
              <w:t xml:space="preserve"> 25%</w:t>
            </w:r>
            <w:r w:rsidRPr="00CF5B13">
              <w:rPr>
                <w:rFonts w:ascii="Times New Roman" w:eastAsia="Times New Roman" w:hAnsi="Times New Roman" w:cs="Times New Roman"/>
                <w:sz w:val="24"/>
                <w:szCs w:val="24"/>
                <w:lang w:val="cs-CZ"/>
              </w:rPr>
              <w:t>. Mezi</w:t>
            </w:r>
            <w:r w:rsidR="00047ED7" w:rsidRPr="00CF5B13">
              <w:rPr>
                <w:rFonts w:ascii="Times New Roman" w:eastAsia="Times New Roman" w:hAnsi="Times New Roman" w:cs="Times New Roman"/>
                <w:sz w:val="24"/>
                <w:szCs w:val="24"/>
                <w:lang w:val="cs-CZ"/>
              </w:rPr>
              <w:t>resort</w:t>
            </w:r>
            <w:r w:rsidRPr="00CF5B13">
              <w:rPr>
                <w:rFonts w:ascii="Times New Roman" w:eastAsia="Times New Roman" w:hAnsi="Times New Roman" w:cs="Times New Roman"/>
                <w:sz w:val="24"/>
                <w:szCs w:val="24"/>
                <w:lang w:val="cs-CZ"/>
              </w:rPr>
              <w:t xml:space="preserve">ní pracovní skupina je otevřená přijímání dalších členů. </w:t>
            </w:r>
          </w:p>
          <w:p w:rsidR="006923C8" w:rsidRPr="00CF5B13" w:rsidRDefault="006923C8" w:rsidP="00B71F3A">
            <w:pPr>
              <w:pStyle w:val="Odstavecseseznamem"/>
              <w:ind w:left="0"/>
              <w:jc w:val="both"/>
              <w:rPr>
                <w:rFonts w:ascii="Times New Roman" w:eastAsia="Times New Roman" w:hAnsi="Times New Roman" w:cs="Times New Roman"/>
                <w:sz w:val="24"/>
                <w:szCs w:val="24"/>
                <w:lang w:val="cs-CZ"/>
              </w:rPr>
            </w:pPr>
          </w:p>
        </w:tc>
      </w:tr>
      <w:tr w:rsidR="00471A15" w:rsidRPr="00CF5B13" w:rsidTr="00494552">
        <w:trPr>
          <w:trHeight w:val="866"/>
        </w:trPr>
        <w:tc>
          <w:tcPr>
            <w:tcW w:w="7015" w:type="dxa"/>
            <w:gridSpan w:val="2"/>
          </w:tcPr>
          <w:p w:rsidR="00471A15" w:rsidRPr="00CF5B13" w:rsidRDefault="00471A15" w:rsidP="00471A15">
            <w:pPr>
              <w:pStyle w:val="Odstavecseseznamem"/>
              <w:ind w:left="0"/>
              <w:jc w:val="both"/>
              <w:rPr>
                <w:rFonts w:ascii="Times New Roman" w:eastAsia="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lastRenderedPageBreak/>
              <w:t>1.14 Zabezpečit minimálně dvě setkání mezi</w:t>
            </w:r>
            <w:r w:rsidR="00047ED7" w:rsidRPr="00CF5B13">
              <w:rPr>
                <w:rFonts w:ascii="Times New Roman" w:eastAsia="Times New Roman" w:hAnsi="Times New Roman" w:cs="Times New Roman"/>
                <w:b/>
                <w:color w:val="4472C4" w:themeColor="accent5"/>
                <w:sz w:val="24"/>
                <w:szCs w:val="24"/>
                <w:lang w:val="cs-CZ"/>
              </w:rPr>
              <w:t>resort</w:t>
            </w:r>
            <w:r w:rsidRPr="00CF5B13">
              <w:rPr>
                <w:rFonts w:ascii="Times New Roman" w:eastAsia="Times New Roman" w:hAnsi="Times New Roman" w:cs="Times New Roman"/>
                <w:b/>
                <w:color w:val="4472C4" w:themeColor="accent5"/>
                <w:sz w:val="24"/>
                <w:szCs w:val="24"/>
                <w:lang w:val="cs-CZ"/>
              </w:rPr>
              <w:t xml:space="preserve">ní pracovní skupiny k Agendě WPS v každém kalendářním roce. </w:t>
            </w:r>
          </w:p>
          <w:p w:rsidR="00471A15" w:rsidRPr="00CF5B13" w:rsidRDefault="00471A15" w:rsidP="00471A15">
            <w:pPr>
              <w:pStyle w:val="Odstavecseseznamem"/>
              <w:ind w:left="0"/>
              <w:jc w:val="both"/>
              <w:rPr>
                <w:rFonts w:ascii="Times New Roman" w:eastAsia="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t>(MZV/ÚV, MO, MV, MSp, NNO, akademická obec)</w:t>
            </w:r>
          </w:p>
        </w:tc>
        <w:tc>
          <w:tcPr>
            <w:tcW w:w="3333" w:type="dxa"/>
          </w:tcPr>
          <w:p w:rsidR="00471A15" w:rsidRPr="00CF5B13" w:rsidRDefault="00471A15" w:rsidP="00471A15">
            <w:pPr>
              <w:pStyle w:val="Odstavecseseznamem"/>
              <w:ind w:left="0"/>
              <w:rPr>
                <w:rFonts w:ascii="Times New Roman" w:eastAsia="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t xml:space="preserve"> </w:t>
            </w:r>
            <w:r w:rsidR="006923C8" w:rsidRPr="00CF5B13">
              <w:rPr>
                <w:rFonts w:ascii="Times New Roman" w:eastAsia="Times New Roman" w:hAnsi="Times New Roman" w:cs="Times New Roman"/>
                <w:b/>
                <w:color w:val="4472C4" w:themeColor="accent5"/>
                <w:sz w:val="24"/>
                <w:szCs w:val="24"/>
                <w:lang w:val="cs-CZ"/>
              </w:rPr>
              <w:t>Splněno</w:t>
            </w:r>
          </w:p>
        </w:tc>
      </w:tr>
      <w:tr w:rsidR="00471A15" w:rsidRPr="00412C4E" w:rsidTr="005C2738">
        <w:tc>
          <w:tcPr>
            <w:tcW w:w="10348" w:type="dxa"/>
            <w:gridSpan w:val="3"/>
          </w:tcPr>
          <w:p w:rsidR="00471A15" w:rsidRPr="00CF5B13" w:rsidRDefault="00471A15" w:rsidP="00471A15">
            <w:pPr>
              <w:pStyle w:val="Odstavecseseznamem"/>
              <w:ind w:left="0"/>
              <w:jc w:val="both"/>
              <w:rPr>
                <w:rFonts w:ascii="Times New Roman" w:eastAsia="Times New Roman" w:hAnsi="Times New Roman" w:cs="Times New Roman"/>
                <w:sz w:val="24"/>
                <w:szCs w:val="24"/>
                <w:lang w:val="cs-CZ"/>
              </w:rPr>
            </w:pPr>
            <w:r w:rsidRPr="00CF5B13">
              <w:rPr>
                <w:rFonts w:ascii="Times New Roman" w:eastAsia="Times New Roman" w:hAnsi="Times New Roman" w:cs="Times New Roman"/>
                <w:sz w:val="24"/>
                <w:szCs w:val="24"/>
                <w:lang w:val="cs-CZ"/>
              </w:rPr>
              <w:t xml:space="preserve"> Jednání mezi</w:t>
            </w:r>
            <w:r w:rsidR="00047ED7" w:rsidRPr="00CF5B13">
              <w:rPr>
                <w:rFonts w:ascii="Times New Roman" w:eastAsia="Times New Roman" w:hAnsi="Times New Roman" w:cs="Times New Roman"/>
                <w:sz w:val="24"/>
                <w:szCs w:val="24"/>
                <w:lang w:val="cs-CZ"/>
              </w:rPr>
              <w:t>resort</w:t>
            </w:r>
            <w:r w:rsidRPr="00CF5B13">
              <w:rPr>
                <w:rFonts w:ascii="Times New Roman" w:eastAsia="Times New Roman" w:hAnsi="Times New Roman" w:cs="Times New Roman"/>
                <w:sz w:val="24"/>
                <w:szCs w:val="24"/>
                <w:lang w:val="cs-CZ"/>
              </w:rPr>
              <w:t xml:space="preserve">ní pracovní skupiny se uskutečnilo </w:t>
            </w:r>
            <w:r w:rsidR="00E87C24" w:rsidRPr="00CF5B13">
              <w:rPr>
                <w:rFonts w:ascii="Times New Roman" w:eastAsia="Times New Roman" w:hAnsi="Times New Roman" w:cs="Times New Roman"/>
                <w:sz w:val="24"/>
                <w:szCs w:val="24"/>
                <w:lang w:val="cs-CZ"/>
              </w:rPr>
              <w:t xml:space="preserve">v roce 2022 dvakrát, </w:t>
            </w:r>
            <w:r w:rsidR="006E33F7" w:rsidRPr="00CF5B13">
              <w:rPr>
                <w:rFonts w:ascii="Times New Roman" w:eastAsia="Times New Roman" w:hAnsi="Times New Roman" w:cs="Times New Roman"/>
                <w:sz w:val="24"/>
                <w:szCs w:val="24"/>
                <w:lang w:val="cs-CZ"/>
              </w:rPr>
              <w:t xml:space="preserve">ve </w:t>
            </w:r>
            <w:r w:rsidRPr="00CF5B13">
              <w:rPr>
                <w:rFonts w:ascii="Times New Roman" w:eastAsia="Times New Roman" w:hAnsi="Times New Roman" w:cs="Times New Roman"/>
                <w:sz w:val="24"/>
                <w:szCs w:val="24"/>
                <w:lang w:val="cs-CZ"/>
              </w:rPr>
              <w:t>dne</w:t>
            </w:r>
            <w:r w:rsidR="006E33F7" w:rsidRPr="00CF5B13">
              <w:rPr>
                <w:rFonts w:ascii="Times New Roman" w:eastAsia="Times New Roman" w:hAnsi="Times New Roman" w:cs="Times New Roman"/>
                <w:sz w:val="24"/>
                <w:szCs w:val="24"/>
                <w:lang w:val="cs-CZ"/>
              </w:rPr>
              <w:t>ch</w:t>
            </w:r>
            <w:r w:rsidRPr="00CF5B13">
              <w:rPr>
                <w:rFonts w:ascii="Times New Roman" w:eastAsia="Times New Roman" w:hAnsi="Times New Roman" w:cs="Times New Roman"/>
                <w:sz w:val="24"/>
                <w:szCs w:val="24"/>
                <w:lang w:val="cs-CZ"/>
              </w:rPr>
              <w:t xml:space="preserve"> 10.2. a </w:t>
            </w:r>
            <w:r w:rsidR="006923C8" w:rsidRPr="00CF5B13">
              <w:rPr>
                <w:rFonts w:ascii="Times New Roman" w:eastAsia="Times New Roman" w:hAnsi="Times New Roman" w:cs="Times New Roman"/>
                <w:sz w:val="24"/>
                <w:szCs w:val="24"/>
                <w:lang w:val="cs-CZ"/>
              </w:rPr>
              <w:t>20.12. Hlavní agendou činnosti mezi</w:t>
            </w:r>
            <w:r w:rsidR="00047ED7" w:rsidRPr="00CF5B13">
              <w:rPr>
                <w:rFonts w:ascii="Times New Roman" w:eastAsia="Times New Roman" w:hAnsi="Times New Roman" w:cs="Times New Roman"/>
                <w:sz w:val="24"/>
                <w:szCs w:val="24"/>
                <w:lang w:val="cs-CZ"/>
              </w:rPr>
              <w:t>resort</w:t>
            </w:r>
            <w:r w:rsidR="006923C8" w:rsidRPr="00CF5B13">
              <w:rPr>
                <w:rFonts w:ascii="Times New Roman" w:eastAsia="Times New Roman" w:hAnsi="Times New Roman" w:cs="Times New Roman"/>
                <w:sz w:val="24"/>
                <w:szCs w:val="24"/>
                <w:lang w:val="cs-CZ"/>
              </w:rPr>
              <w:t xml:space="preserve">ní pracovní skupiny byla výměna informací týkající se plnění NAP, dopad války Ruska proti Ukrajině na jeho implementaci a vzájemné informování o dalších aktivitách v oblasti Agendy WPS.  </w:t>
            </w:r>
          </w:p>
          <w:p w:rsidR="006923C8" w:rsidRPr="00CF5B13" w:rsidRDefault="006923C8" w:rsidP="00471A15">
            <w:pPr>
              <w:pStyle w:val="Odstavecseseznamem"/>
              <w:ind w:left="0"/>
              <w:jc w:val="both"/>
              <w:rPr>
                <w:rFonts w:ascii="Times New Roman" w:eastAsia="Times New Roman" w:hAnsi="Times New Roman" w:cs="Times New Roman"/>
                <w:sz w:val="24"/>
                <w:szCs w:val="24"/>
                <w:lang w:val="cs-CZ"/>
              </w:rPr>
            </w:pPr>
          </w:p>
        </w:tc>
      </w:tr>
      <w:tr w:rsidR="00471A15" w:rsidRPr="00412C4E" w:rsidTr="005C2738">
        <w:tc>
          <w:tcPr>
            <w:tcW w:w="7015" w:type="dxa"/>
            <w:gridSpan w:val="2"/>
          </w:tcPr>
          <w:p w:rsidR="00471A15" w:rsidRPr="00CF5B13" w:rsidRDefault="00471A15" w:rsidP="00471A15">
            <w:pPr>
              <w:jc w:val="both"/>
              <w:rPr>
                <w:rFonts w:ascii="Times New Roman" w:eastAsia="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t xml:space="preserve">1.15 Zřídit funkci voleného místopředsedy/-kyně meziresortní pracovní skupiny k Agendě WPS. </w:t>
            </w:r>
          </w:p>
          <w:p w:rsidR="00471A15" w:rsidRPr="00CF5B13" w:rsidRDefault="00471A15" w:rsidP="00972B84">
            <w:pPr>
              <w:spacing w:after="120"/>
              <w:jc w:val="both"/>
              <w:rPr>
                <w:rFonts w:ascii="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t>(MZV)</w:t>
            </w:r>
          </w:p>
        </w:tc>
        <w:tc>
          <w:tcPr>
            <w:tcW w:w="3333" w:type="dxa"/>
          </w:tcPr>
          <w:p w:rsidR="00431ACB" w:rsidRPr="00CF5B13" w:rsidRDefault="00471A15" w:rsidP="00431ACB">
            <w:pPr>
              <w:pStyle w:val="Odstavecseseznamem"/>
              <w:ind w:left="0"/>
              <w:jc w:val="both"/>
              <w:rPr>
                <w:rFonts w:ascii="Times New Roman" w:eastAsia="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t xml:space="preserve"> </w:t>
            </w:r>
            <w:r w:rsidR="00431ACB" w:rsidRPr="00CF5B13">
              <w:rPr>
                <w:rFonts w:ascii="Times New Roman" w:eastAsia="Times New Roman" w:hAnsi="Times New Roman" w:cs="Times New Roman"/>
                <w:b/>
                <w:color w:val="4472C4" w:themeColor="accent5"/>
                <w:sz w:val="24"/>
                <w:szCs w:val="24"/>
                <w:lang w:val="cs-CZ"/>
              </w:rPr>
              <w:t>Prozatím nesplněno</w:t>
            </w:r>
          </w:p>
          <w:p w:rsidR="00471A15" w:rsidRPr="00CF5B13" w:rsidRDefault="00431ACB" w:rsidP="00431ACB">
            <w:pPr>
              <w:pStyle w:val="Odstavecseseznamem"/>
              <w:ind w:left="0"/>
              <w:jc w:val="both"/>
              <w:rPr>
                <w:rFonts w:ascii="Times New Roman" w:eastAsia="Times New Roman" w:hAnsi="Times New Roman" w:cs="Times New Roman"/>
                <w:b/>
                <w:color w:val="4472C4" w:themeColor="accent5"/>
                <w:sz w:val="24"/>
                <w:szCs w:val="24"/>
                <w:lang w:val="cs-CZ"/>
              </w:rPr>
            </w:pPr>
            <w:r w:rsidRPr="00CF5B13">
              <w:rPr>
                <w:rFonts w:ascii="Times New Roman" w:eastAsia="Times New Roman" w:hAnsi="Times New Roman" w:cs="Times New Roman"/>
                <w:color w:val="4472C4" w:themeColor="accent5"/>
                <w:sz w:val="24"/>
                <w:szCs w:val="24"/>
                <w:lang w:val="cs-CZ"/>
              </w:rPr>
              <w:t>Plnění proběhne v následujícím období</w:t>
            </w:r>
          </w:p>
        </w:tc>
      </w:tr>
      <w:tr w:rsidR="00471A15" w:rsidRPr="00412C4E" w:rsidTr="005C2738">
        <w:tc>
          <w:tcPr>
            <w:tcW w:w="10348" w:type="dxa"/>
            <w:gridSpan w:val="3"/>
          </w:tcPr>
          <w:p w:rsidR="004B3AF0" w:rsidRPr="00CF5B13" w:rsidRDefault="00431ACB" w:rsidP="004B3AF0">
            <w:pPr>
              <w:pStyle w:val="Odstavecseseznamem"/>
              <w:ind w:left="0"/>
              <w:jc w:val="both"/>
              <w:rPr>
                <w:rFonts w:ascii="Times New Roman" w:eastAsia="Times New Roman" w:hAnsi="Times New Roman" w:cs="Times New Roman"/>
                <w:sz w:val="24"/>
                <w:szCs w:val="24"/>
                <w:lang w:val="cs-CZ"/>
              </w:rPr>
            </w:pPr>
            <w:r w:rsidRPr="00CF5B13">
              <w:rPr>
                <w:rFonts w:ascii="Times New Roman" w:eastAsia="Times New Roman" w:hAnsi="Times New Roman" w:cs="Times New Roman"/>
                <w:sz w:val="24"/>
                <w:szCs w:val="24"/>
                <w:lang w:val="cs-CZ"/>
              </w:rPr>
              <w:t>V návaznosti na</w:t>
            </w:r>
            <w:r w:rsidR="00471A15" w:rsidRPr="00CF5B13">
              <w:rPr>
                <w:rFonts w:ascii="Times New Roman" w:eastAsia="Times New Roman" w:hAnsi="Times New Roman" w:cs="Times New Roman"/>
                <w:sz w:val="24"/>
                <w:szCs w:val="24"/>
                <w:lang w:val="cs-CZ"/>
              </w:rPr>
              <w:t xml:space="preserve"> </w:t>
            </w:r>
            <w:r w:rsidRPr="00CF5B13">
              <w:rPr>
                <w:rFonts w:ascii="Times New Roman" w:eastAsia="Times New Roman" w:hAnsi="Times New Roman" w:cs="Times New Roman"/>
                <w:sz w:val="24"/>
                <w:szCs w:val="24"/>
                <w:lang w:val="cs-CZ"/>
              </w:rPr>
              <w:t>jmenov</w:t>
            </w:r>
            <w:r w:rsidR="00DB4032" w:rsidRPr="00CF5B13">
              <w:rPr>
                <w:rFonts w:ascii="Times New Roman" w:eastAsia="Times New Roman" w:hAnsi="Times New Roman" w:cs="Times New Roman"/>
                <w:sz w:val="24"/>
                <w:szCs w:val="24"/>
                <w:lang w:val="cs-CZ"/>
              </w:rPr>
              <w:t>á</w:t>
            </w:r>
            <w:r w:rsidRPr="00CF5B13">
              <w:rPr>
                <w:rFonts w:ascii="Times New Roman" w:eastAsia="Times New Roman" w:hAnsi="Times New Roman" w:cs="Times New Roman"/>
                <w:sz w:val="24"/>
                <w:szCs w:val="24"/>
                <w:lang w:val="cs-CZ"/>
              </w:rPr>
              <w:t>ní člen</w:t>
            </w:r>
            <w:r w:rsidR="00AF4C63" w:rsidRPr="00CF5B13">
              <w:rPr>
                <w:rFonts w:ascii="Times New Roman" w:eastAsia="Times New Roman" w:hAnsi="Times New Roman" w:cs="Times New Roman"/>
                <w:sz w:val="24"/>
                <w:szCs w:val="24"/>
                <w:lang w:val="cs-CZ"/>
              </w:rPr>
              <w:t>ů/člen</w:t>
            </w:r>
            <w:r w:rsidRPr="00CF5B13">
              <w:rPr>
                <w:rFonts w:ascii="Times New Roman" w:eastAsia="Times New Roman" w:hAnsi="Times New Roman" w:cs="Times New Roman"/>
                <w:sz w:val="24"/>
                <w:szCs w:val="24"/>
                <w:lang w:val="cs-CZ"/>
              </w:rPr>
              <w:t xml:space="preserve">ek meziresortní pracovní skupiny z řad nevládního a akademického sektoru </w:t>
            </w:r>
            <w:r w:rsidR="004B3AF0" w:rsidRPr="00CF5B13">
              <w:rPr>
                <w:rFonts w:ascii="Times New Roman" w:eastAsia="Times New Roman" w:hAnsi="Times New Roman" w:cs="Times New Roman"/>
                <w:sz w:val="24"/>
                <w:szCs w:val="24"/>
                <w:lang w:val="cs-CZ"/>
              </w:rPr>
              <w:t>se předpokládá v průběhu roku 2023</w:t>
            </w:r>
            <w:r w:rsidRPr="00CF5B13">
              <w:rPr>
                <w:rFonts w:ascii="Times New Roman" w:eastAsia="Times New Roman" w:hAnsi="Times New Roman" w:cs="Times New Roman"/>
                <w:sz w:val="24"/>
                <w:szCs w:val="24"/>
                <w:lang w:val="cs-CZ"/>
              </w:rPr>
              <w:t xml:space="preserve"> zvolen</w:t>
            </w:r>
            <w:r w:rsidR="004B3AF0" w:rsidRPr="00CF5B13">
              <w:rPr>
                <w:rFonts w:ascii="Times New Roman" w:eastAsia="Times New Roman" w:hAnsi="Times New Roman" w:cs="Times New Roman"/>
                <w:sz w:val="24"/>
                <w:szCs w:val="24"/>
                <w:lang w:val="cs-CZ"/>
              </w:rPr>
              <w:t>í</w:t>
            </w:r>
            <w:r w:rsidRPr="00CF5B13">
              <w:rPr>
                <w:rFonts w:ascii="Times New Roman" w:eastAsia="Times New Roman" w:hAnsi="Times New Roman" w:cs="Times New Roman"/>
                <w:sz w:val="24"/>
                <w:szCs w:val="24"/>
                <w:lang w:val="cs-CZ"/>
              </w:rPr>
              <w:t xml:space="preserve"> místopředsed</w:t>
            </w:r>
            <w:r w:rsidR="004B3AF0" w:rsidRPr="00CF5B13">
              <w:rPr>
                <w:rFonts w:ascii="Times New Roman" w:eastAsia="Times New Roman" w:hAnsi="Times New Roman" w:cs="Times New Roman"/>
                <w:sz w:val="24"/>
                <w:szCs w:val="24"/>
                <w:lang w:val="cs-CZ"/>
              </w:rPr>
              <w:t>y</w:t>
            </w:r>
            <w:r w:rsidRPr="00CF5B13">
              <w:rPr>
                <w:rFonts w:ascii="Times New Roman" w:eastAsia="Times New Roman" w:hAnsi="Times New Roman" w:cs="Times New Roman"/>
                <w:sz w:val="24"/>
                <w:szCs w:val="24"/>
                <w:lang w:val="cs-CZ"/>
              </w:rPr>
              <w:t>/kyně</w:t>
            </w:r>
            <w:r w:rsidR="004B3AF0" w:rsidRPr="00CF5B13">
              <w:rPr>
                <w:rFonts w:ascii="Times New Roman" w:eastAsia="Times New Roman" w:hAnsi="Times New Roman" w:cs="Times New Roman"/>
                <w:sz w:val="24"/>
                <w:szCs w:val="24"/>
                <w:lang w:val="cs-CZ"/>
              </w:rPr>
              <w:t xml:space="preserve"> z těchto řad</w:t>
            </w:r>
            <w:r w:rsidRPr="00CF5B13">
              <w:rPr>
                <w:rFonts w:ascii="Times New Roman" w:eastAsia="Times New Roman" w:hAnsi="Times New Roman" w:cs="Times New Roman"/>
                <w:sz w:val="24"/>
                <w:szCs w:val="24"/>
                <w:lang w:val="cs-CZ"/>
              </w:rPr>
              <w:t xml:space="preserve">. </w:t>
            </w:r>
          </w:p>
          <w:p w:rsidR="00471A15" w:rsidRPr="00CF5B13" w:rsidRDefault="00431ACB" w:rsidP="004B3AF0">
            <w:pPr>
              <w:pStyle w:val="Odstavecseseznamem"/>
              <w:ind w:left="0"/>
              <w:jc w:val="both"/>
              <w:rPr>
                <w:rFonts w:ascii="Times New Roman" w:eastAsia="Times New Roman" w:hAnsi="Times New Roman" w:cs="Times New Roman"/>
                <w:sz w:val="24"/>
                <w:szCs w:val="24"/>
                <w:lang w:val="cs-CZ"/>
              </w:rPr>
            </w:pPr>
            <w:r w:rsidRPr="00CF5B13">
              <w:rPr>
                <w:rFonts w:ascii="Times New Roman" w:eastAsia="Times New Roman" w:hAnsi="Times New Roman" w:cs="Times New Roman"/>
                <w:sz w:val="24"/>
                <w:szCs w:val="24"/>
                <w:lang w:val="cs-CZ"/>
              </w:rPr>
              <w:t xml:space="preserve"> </w:t>
            </w:r>
          </w:p>
        </w:tc>
      </w:tr>
      <w:tr w:rsidR="00471A15" w:rsidRPr="00CF5B13" w:rsidTr="005C2738">
        <w:tc>
          <w:tcPr>
            <w:tcW w:w="7015" w:type="dxa"/>
            <w:gridSpan w:val="2"/>
          </w:tcPr>
          <w:p w:rsidR="00471A15" w:rsidRPr="00CF5B13" w:rsidRDefault="00471A15" w:rsidP="00471A15">
            <w:pPr>
              <w:jc w:val="both"/>
              <w:rPr>
                <w:rFonts w:ascii="Times New Roman" w:eastAsia="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t xml:space="preserve">1.16 Zajistit zastoupení NNO a akademické obce v rámci delegace ČR na zasedání Komise pro postavení žen. </w:t>
            </w:r>
          </w:p>
          <w:p w:rsidR="00471A15" w:rsidRPr="00CF5B13" w:rsidRDefault="00471A15" w:rsidP="00471A15">
            <w:pPr>
              <w:jc w:val="both"/>
              <w:rPr>
                <w:rFonts w:ascii="Times New Roman" w:eastAsia="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t>(MZV, ÚV)</w:t>
            </w:r>
          </w:p>
        </w:tc>
        <w:tc>
          <w:tcPr>
            <w:tcW w:w="3333" w:type="dxa"/>
          </w:tcPr>
          <w:p w:rsidR="00471A15" w:rsidRPr="00CF5B13" w:rsidRDefault="00471A15" w:rsidP="00471A15">
            <w:pPr>
              <w:pStyle w:val="Odstavecseseznamem"/>
              <w:ind w:left="0"/>
              <w:jc w:val="both"/>
              <w:rPr>
                <w:rFonts w:ascii="Times New Roman" w:eastAsia="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t xml:space="preserve"> </w:t>
            </w:r>
            <w:r w:rsidR="007C6880" w:rsidRPr="00CF5B13">
              <w:rPr>
                <w:rFonts w:ascii="Times New Roman" w:eastAsia="Times New Roman" w:hAnsi="Times New Roman" w:cs="Times New Roman"/>
                <w:b/>
                <w:color w:val="4472C4" w:themeColor="accent5"/>
                <w:sz w:val="24"/>
                <w:szCs w:val="24"/>
                <w:lang w:val="cs-CZ"/>
              </w:rPr>
              <w:t>Splněno</w:t>
            </w:r>
          </w:p>
        </w:tc>
      </w:tr>
      <w:tr w:rsidR="00E87C24" w:rsidRPr="00412C4E" w:rsidTr="005C2738">
        <w:tc>
          <w:tcPr>
            <w:tcW w:w="10348" w:type="dxa"/>
            <w:gridSpan w:val="3"/>
          </w:tcPr>
          <w:p w:rsidR="00E87C24" w:rsidRPr="00CF5B13" w:rsidRDefault="00E87C24" w:rsidP="00972B84">
            <w:pPr>
              <w:pStyle w:val="Odstavecseseznamem"/>
              <w:spacing w:before="120"/>
              <w:ind w:left="0"/>
              <w:jc w:val="both"/>
              <w:rPr>
                <w:rFonts w:ascii="Times New Roman" w:eastAsia="Times New Roman" w:hAnsi="Times New Roman" w:cs="Times New Roman"/>
                <w:sz w:val="24"/>
                <w:szCs w:val="24"/>
                <w:lang w:val="cs-CZ"/>
              </w:rPr>
            </w:pPr>
            <w:r w:rsidRPr="00CF5B13">
              <w:rPr>
                <w:rFonts w:ascii="Times New Roman" w:eastAsia="Times New Roman" w:hAnsi="Times New Roman" w:cs="Times New Roman"/>
                <w:sz w:val="24"/>
                <w:szCs w:val="24"/>
                <w:lang w:val="cs-CZ"/>
              </w:rPr>
              <w:t xml:space="preserve">V roce 2022 proběhlo </w:t>
            </w:r>
            <w:r w:rsidR="00F0732D" w:rsidRPr="00CF5B13">
              <w:rPr>
                <w:rFonts w:ascii="Times New Roman" w:eastAsia="Times New Roman" w:hAnsi="Times New Roman" w:cs="Times New Roman"/>
                <w:sz w:val="24"/>
                <w:szCs w:val="24"/>
                <w:lang w:val="cs-CZ"/>
              </w:rPr>
              <w:t xml:space="preserve">kvůli pandemii Covid-19 </w:t>
            </w:r>
            <w:r w:rsidRPr="00CF5B13">
              <w:rPr>
                <w:rFonts w:ascii="Times New Roman" w:eastAsia="Times New Roman" w:hAnsi="Times New Roman" w:cs="Times New Roman"/>
                <w:sz w:val="24"/>
                <w:szCs w:val="24"/>
                <w:lang w:val="cs-CZ"/>
              </w:rPr>
              <w:t>zasedání Komise OSN pro postavení žen v omezeném formátu. Delegace ČR v New Yorku proto byla pouze tříčlenná</w:t>
            </w:r>
            <w:r w:rsidR="00F0732D" w:rsidRPr="00CF5B13">
              <w:rPr>
                <w:rFonts w:ascii="Times New Roman" w:eastAsia="Times New Roman" w:hAnsi="Times New Roman" w:cs="Times New Roman"/>
                <w:sz w:val="24"/>
                <w:szCs w:val="24"/>
                <w:lang w:val="cs-CZ"/>
              </w:rPr>
              <w:t xml:space="preserve">, pod vedením </w:t>
            </w:r>
            <w:r w:rsidRPr="00CF5B13">
              <w:rPr>
                <w:rFonts w:ascii="Times New Roman" w:eastAsia="Times New Roman" w:hAnsi="Times New Roman" w:cs="Times New Roman"/>
                <w:sz w:val="24"/>
                <w:szCs w:val="24"/>
                <w:lang w:val="cs-CZ"/>
              </w:rPr>
              <w:t xml:space="preserve">náměstkyně </w:t>
            </w:r>
            <w:r w:rsidR="00F0732D" w:rsidRPr="00CF5B13">
              <w:rPr>
                <w:rFonts w:ascii="Times New Roman" w:eastAsia="Times New Roman" w:hAnsi="Times New Roman" w:cs="Times New Roman"/>
                <w:sz w:val="24"/>
                <w:szCs w:val="24"/>
                <w:lang w:val="cs-CZ"/>
              </w:rPr>
              <w:t xml:space="preserve">MPSV </w:t>
            </w:r>
            <w:r w:rsidRPr="00CF5B13">
              <w:rPr>
                <w:rFonts w:ascii="Times New Roman" w:eastAsia="Times New Roman" w:hAnsi="Times New Roman" w:cs="Times New Roman"/>
                <w:sz w:val="24"/>
                <w:szCs w:val="24"/>
                <w:lang w:val="cs-CZ"/>
              </w:rPr>
              <w:t>Martin</w:t>
            </w:r>
            <w:r w:rsidR="00F0732D" w:rsidRPr="00CF5B13">
              <w:rPr>
                <w:rFonts w:ascii="Times New Roman" w:eastAsia="Times New Roman" w:hAnsi="Times New Roman" w:cs="Times New Roman"/>
                <w:sz w:val="24"/>
                <w:szCs w:val="24"/>
                <w:lang w:val="cs-CZ"/>
              </w:rPr>
              <w:t>y Štěpánkové, a se zastoupením ÚV ČR a MZV</w:t>
            </w:r>
            <w:r w:rsidRPr="00CF5B13">
              <w:rPr>
                <w:rFonts w:ascii="Times New Roman" w:eastAsia="Times New Roman" w:hAnsi="Times New Roman" w:cs="Times New Roman"/>
                <w:sz w:val="24"/>
                <w:szCs w:val="24"/>
                <w:lang w:val="cs-CZ"/>
              </w:rPr>
              <w:t>. ÚV ČR však ve spolupráci s NNO zorganizoval dva side eventy</w:t>
            </w:r>
            <w:r w:rsidR="00F0732D" w:rsidRPr="00CF5B13">
              <w:rPr>
                <w:rFonts w:ascii="Times New Roman" w:eastAsia="Times New Roman" w:hAnsi="Times New Roman" w:cs="Times New Roman"/>
                <w:sz w:val="24"/>
                <w:szCs w:val="24"/>
                <w:lang w:val="cs-CZ"/>
              </w:rPr>
              <w:t xml:space="preserve"> </w:t>
            </w:r>
            <w:r w:rsidR="0056199F" w:rsidRPr="00CF5B13">
              <w:rPr>
                <w:rFonts w:ascii="Times New Roman" w:eastAsia="Times New Roman" w:hAnsi="Times New Roman" w:cs="Times New Roman"/>
                <w:sz w:val="24"/>
                <w:szCs w:val="24"/>
                <w:lang w:val="cs-CZ"/>
              </w:rPr>
              <w:t xml:space="preserve">na okraj zasedání, </w:t>
            </w:r>
            <w:r w:rsidR="00F0732D" w:rsidRPr="00CF5B13">
              <w:rPr>
                <w:rFonts w:ascii="Times New Roman" w:eastAsia="Times New Roman" w:hAnsi="Times New Roman" w:cs="Times New Roman"/>
                <w:sz w:val="24"/>
                <w:szCs w:val="24"/>
                <w:lang w:val="cs-CZ"/>
              </w:rPr>
              <w:t>s aktivním vystoupením zástupkyň českých NNO</w:t>
            </w:r>
            <w:r w:rsidRPr="00CF5B13">
              <w:rPr>
                <w:rFonts w:ascii="Times New Roman" w:eastAsia="Times New Roman" w:hAnsi="Times New Roman" w:cs="Times New Roman"/>
                <w:sz w:val="24"/>
                <w:szCs w:val="24"/>
                <w:lang w:val="cs-CZ"/>
              </w:rPr>
              <w:t xml:space="preserve">: </w:t>
            </w:r>
            <w:r w:rsidRPr="00CF5B13">
              <w:rPr>
                <w:rFonts w:ascii="Times New Roman" w:eastAsia="Times New Roman" w:hAnsi="Times New Roman" w:cs="Times New Roman"/>
                <w:i/>
                <w:iCs/>
                <w:sz w:val="24"/>
                <w:szCs w:val="24"/>
                <w:lang w:val="cs-CZ"/>
              </w:rPr>
              <w:t>Women at the frontline: knowledge, skills and leadership of women in climate action</w:t>
            </w:r>
            <w:r w:rsidRPr="00CF5B13">
              <w:rPr>
                <w:rFonts w:ascii="Times New Roman" w:eastAsia="Times New Roman" w:hAnsi="Times New Roman" w:cs="Times New Roman"/>
                <w:sz w:val="24"/>
                <w:szCs w:val="24"/>
                <w:lang w:val="cs-CZ"/>
              </w:rPr>
              <w:t xml:space="preserve"> (17. 3. 2022) a </w:t>
            </w:r>
            <w:r w:rsidRPr="00CF5B13">
              <w:rPr>
                <w:rFonts w:ascii="Times New Roman" w:eastAsia="Times New Roman" w:hAnsi="Times New Roman" w:cs="Times New Roman"/>
                <w:i/>
                <w:iCs/>
                <w:sz w:val="24"/>
                <w:szCs w:val="24"/>
                <w:lang w:val="cs-CZ"/>
              </w:rPr>
              <w:t>Under one roof: Towards multidisciplinary help for victims of sexual and domestic violence</w:t>
            </w:r>
            <w:r w:rsidRPr="00CF5B13">
              <w:rPr>
                <w:rFonts w:ascii="Times New Roman" w:eastAsia="Times New Roman" w:hAnsi="Times New Roman" w:cs="Times New Roman"/>
                <w:sz w:val="24"/>
                <w:szCs w:val="24"/>
                <w:lang w:val="cs-CZ"/>
              </w:rPr>
              <w:t xml:space="preserve"> (22. 3. 2022). Oba side eventy byly streamovány online. Na prvním side eventu vystoupila mj. předsedkyně České ženské lobby, na druhém vedoucí služby odborné</w:t>
            </w:r>
            <w:r w:rsidR="000901DC">
              <w:rPr>
                <w:rFonts w:ascii="Times New Roman" w:eastAsia="Times New Roman" w:hAnsi="Times New Roman" w:cs="Times New Roman"/>
                <w:sz w:val="24"/>
                <w:szCs w:val="24"/>
                <w:lang w:val="cs-CZ"/>
              </w:rPr>
              <w:t>ho</w:t>
            </w:r>
            <w:r w:rsidRPr="00CF5B13">
              <w:rPr>
                <w:rFonts w:ascii="Times New Roman" w:eastAsia="Times New Roman" w:hAnsi="Times New Roman" w:cs="Times New Roman"/>
                <w:sz w:val="24"/>
                <w:szCs w:val="24"/>
                <w:lang w:val="cs-CZ"/>
              </w:rPr>
              <w:t xml:space="preserve"> sociální</w:t>
            </w:r>
            <w:r w:rsidR="000901DC">
              <w:rPr>
                <w:rFonts w:ascii="Times New Roman" w:eastAsia="Times New Roman" w:hAnsi="Times New Roman" w:cs="Times New Roman"/>
                <w:sz w:val="24"/>
                <w:szCs w:val="24"/>
                <w:lang w:val="cs-CZ"/>
              </w:rPr>
              <w:t>ho</w:t>
            </w:r>
            <w:r w:rsidRPr="00CF5B13">
              <w:rPr>
                <w:rFonts w:ascii="Times New Roman" w:eastAsia="Times New Roman" w:hAnsi="Times New Roman" w:cs="Times New Roman"/>
                <w:sz w:val="24"/>
                <w:szCs w:val="24"/>
                <w:lang w:val="cs-CZ"/>
              </w:rPr>
              <w:t xml:space="preserve"> poradenství organizace ROSA – centrum pro ženy a vedoucí terapeutických služeb</w:t>
            </w:r>
            <w:r w:rsidR="00F0732D" w:rsidRPr="00CF5B13">
              <w:rPr>
                <w:rFonts w:ascii="Times New Roman" w:eastAsia="Times New Roman" w:hAnsi="Times New Roman" w:cs="Times New Roman"/>
                <w:sz w:val="24"/>
                <w:szCs w:val="24"/>
                <w:lang w:val="cs-CZ"/>
              </w:rPr>
              <w:t>, proFem</w:t>
            </w:r>
            <w:r w:rsidRPr="00CF5B13">
              <w:rPr>
                <w:rFonts w:ascii="Times New Roman" w:eastAsia="Times New Roman" w:hAnsi="Times New Roman" w:cs="Times New Roman"/>
                <w:sz w:val="24"/>
                <w:szCs w:val="24"/>
                <w:lang w:val="cs-CZ"/>
              </w:rPr>
              <w:t>.</w:t>
            </w:r>
          </w:p>
          <w:p w:rsidR="00E87C24" w:rsidRPr="00CF5B13" w:rsidRDefault="00E87C24" w:rsidP="00E87C24">
            <w:pPr>
              <w:pStyle w:val="Odstavecseseznamem"/>
              <w:ind w:left="0"/>
              <w:jc w:val="both"/>
              <w:rPr>
                <w:rFonts w:ascii="Times New Roman" w:eastAsia="Times New Roman" w:hAnsi="Times New Roman" w:cs="Times New Roman"/>
                <w:lang w:val="cs-CZ"/>
              </w:rPr>
            </w:pPr>
          </w:p>
        </w:tc>
      </w:tr>
      <w:tr w:rsidR="00E87C24" w:rsidRPr="00412C4E" w:rsidTr="00972B84">
        <w:trPr>
          <w:trHeight w:val="1183"/>
        </w:trPr>
        <w:tc>
          <w:tcPr>
            <w:tcW w:w="7015" w:type="dxa"/>
            <w:gridSpan w:val="2"/>
          </w:tcPr>
          <w:p w:rsidR="00E87C24" w:rsidRPr="00CF5B13" w:rsidRDefault="00E87C24" w:rsidP="00E87C24">
            <w:pPr>
              <w:jc w:val="both"/>
              <w:rPr>
                <w:rFonts w:ascii="Times New Roman" w:eastAsia="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t xml:space="preserve">1.17 Uspořádat workshop/seminář s NNO a zástupci/-kyněmi občanské společnosti a businessu na téma WPS se zaměřením na konkrétní region. </w:t>
            </w:r>
          </w:p>
          <w:p w:rsidR="00E87C24" w:rsidRPr="00CF5B13" w:rsidRDefault="00E87C24" w:rsidP="00E87C24">
            <w:pPr>
              <w:jc w:val="both"/>
              <w:rPr>
                <w:rFonts w:ascii="Times New Roman" w:eastAsia="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t>(MZV)</w:t>
            </w:r>
          </w:p>
        </w:tc>
        <w:tc>
          <w:tcPr>
            <w:tcW w:w="3333" w:type="dxa"/>
          </w:tcPr>
          <w:p w:rsidR="00E87C24" w:rsidRPr="00CF5B13" w:rsidRDefault="00E87C24" w:rsidP="00E87C24">
            <w:pPr>
              <w:jc w:val="both"/>
              <w:rPr>
                <w:rFonts w:ascii="Times New Roman" w:eastAsia="Times New Roman" w:hAnsi="Times New Roman" w:cs="Times New Roman"/>
                <w:b/>
                <w:color w:val="4472C4" w:themeColor="accent5"/>
                <w:sz w:val="24"/>
                <w:szCs w:val="24"/>
                <w:lang w:val="cs-CZ"/>
              </w:rPr>
            </w:pPr>
            <w:r w:rsidRPr="00CF5B13">
              <w:rPr>
                <w:rFonts w:ascii="Times New Roman" w:eastAsia="Times New Roman" w:hAnsi="Times New Roman" w:cs="Times New Roman"/>
                <w:color w:val="4472C4" w:themeColor="accent5"/>
                <w:sz w:val="24"/>
                <w:szCs w:val="24"/>
                <w:lang w:val="cs-CZ"/>
              </w:rPr>
              <w:t xml:space="preserve"> </w:t>
            </w:r>
            <w:r w:rsidRPr="00CF5B13">
              <w:rPr>
                <w:rFonts w:ascii="Times New Roman" w:eastAsia="Times New Roman" w:hAnsi="Times New Roman" w:cs="Times New Roman"/>
                <w:b/>
                <w:color w:val="4472C4" w:themeColor="accent5"/>
                <w:sz w:val="24"/>
                <w:szCs w:val="24"/>
                <w:lang w:val="cs-CZ"/>
              </w:rPr>
              <w:t>Prozatím nesplněno</w:t>
            </w:r>
          </w:p>
          <w:p w:rsidR="00E87C24" w:rsidRPr="00CF5B13" w:rsidRDefault="00E87C24" w:rsidP="00E87C24">
            <w:pPr>
              <w:pStyle w:val="Odstavecseseznamem"/>
              <w:ind w:left="0"/>
              <w:jc w:val="both"/>
              <w:rPr>
                <w:rFonts w:ascii="Times New Roman" w:eastAsia="Times New Roman" w:hAnsi="Times New Roman" w:cs="Times New Roman"/>
                <w:color w:val="4472C4" w:themeColor="accent5"/>
                <w:sz w:val="24"/>
                <w:szCs w:val="24"/>
                <w:lang w:val="cs-CZ"/>
              </w:rPr>
            </w:pPr>
            <w:r w:rsidRPr="00CF5B13">
              <w:rPr>
                <w:rFonts w:ascii="Times New Roman" w:eastAsia="Times New Roman" w:hAnsi="Times New Roman" w:cs="Times New Roman"/>
                <w:color w:val="4472C4" w:themeColor="accent5"/>
                <w:sz w:val="24"/>
                <w:szCs w:val="24"/>
                <w:lang w:val="cs-CZ"/>
              </w:rPr>
              <w:t>Plnění proběhne v následujícím období</w:t>
            </w:r>
          </w:p>
        </w:tc>
      </w:tr>
      <w:tr w:rsidR="00E87C24" w:rsidRPr="00CF5B13" w:rsidTr="00EA3D76">
        <w:trPr>
          <w:trHeight w:val="699"/>
        </w:trPr>
        <w:tc>
          <w:tcPr>
            <w:tcW w:w="10348" w:type="dxa"/>
            <w:gridSpan w:val="3"/>
          </w:tcPr>
          <w:p w:rsidR="00E87C24" w:rsidRPr="00CF5B13" w:rsidRDefault="00F90A00" w:rsidP="00F90A00">
            <w:pPr>
              <w:pStyle w:val="Odstavecseseznamem"/>
              <w:ind w:left="0"/>
              <w:jc w:val="both"/>
              <w:rPr>
                <w:rFonts w:ascii="Times New Roman" w:eastAsia="Times New Roman" w:hAnsi="Times New Roman" w:cs="Times New Roman"/>
                <w:sz w:val="24"/>
                <w:szCs w:val="24"/>
                <w:lang w:val="cs-CZ"/>
              </w:rPr>
            </w:pPr>
            <w:r w:rsidRPr="00CF5B13">
              <w:rPr>
                <w:rFonts w:ascii="Times New Roman" w:eastAsia="Times New Roman" w:hAnsi="Times New Roman" w:cs="Times New Roman"/>
                <w:sz w:val="24"/>
                <w:szCs w:val="24"/>
                <w:lang w:val="cs-CZ"/>
              </w:rPr>
              <w:t>Workshop byl původně plánován v rámci platformy ASEM</w:t>
            </w:r>
            <w:r w:rsidR="00494552" w:rsidRPr="00CF5B13">
              <w:rPr>
                <w:rFonts w:ascii="Times New Roman" w:eastAsia="Times New Roman" w:hAnsi="Times New Roman" w:cs="Times New Roman"/>
                <w:sz w:val="24"/>
                <w:szCs w:val="24"/>
                <w:lang w:val="cs-CZ"/>
              </w:rPr>
              <w:t xml:space="preserve"> (Asijsko – evropské setkání)</w:t>
            </w:r>
            <w:r w:rsidRPr="00CF5B13">
              <w:rPr>
                <w:rFonts w:ascii="Times New Roman" w:eastAsia="Times New Roman" w:hAnsi="Times New Roman" w:cs="Times New Roman"/>
                <w:sz w:val="24"/>
                <w:szCs w:val="24"/>
                <w:lang w:val="cs-CZ"/>
              </w:rPr>
              <w:t xml:space="preserve">, nakonec se však neuskutečnil. </w:t>
            </w:r>
            <w:r w:rsidR="00E87C24" w:rsidRPr="00CF5B13">
              <w:rPr>
                <w:rFonts w:ascii="Times New Roman" w:eastAsia="Times New Roman" w:hAnsi="Times New Roman" w:cs="Times New Roman"/>
                <w:sz w:val="24"/>
                <w:szCs w:val="24"/>
                <w:lang w:val="cs-CZ"/>
              </w:rPr>
              <w:t xml:space="preserve">Plnění opatření </w:t>
            </w:r>
            <w:r w:rsidRPr="00CF5B13">
              <w:rPr>
                <w:rFonts w:ascii="Times New Roman" w:eastAsia="Times New Roman" w:hAnsi="Times New Roman" w:cs="Times New Roman"/>
                <w:sz w:val="24"/>
                <w:szCs w:val="24"/>
                <w:lang w:val="cs-CZ"/>
              </w:rPr>
              <w:t xml:space="preserve">tak bylo </w:t>
            </w:r>
            <w:r w:rsidR="00E87C24" w:rsidRPr="00CF5B13">
              <w:rPr>
                <w:rFonts w:ascii="Times New Roman" w:eastAsia="Times New Roman" w:hAnsi="Times New Roman" w:cs="Times New Roman"/>
                <w:sz w:val="24"/>
                <w:szCs w:val="24"/>
                <w:lang w:val="cs-CZ"/>
              </w:rPr>
              <w:t xml:space="preserve">odloženo na následující období.  </w:t>
            </w:r>
          </w:p>
        </w:tc>
      </w:tr>
    </w:tbl>
    <w:p w:rsidR="005C2738" w:rsidRPr="00CF5B13" w:rsidRDefault="005C2738" w:rsidP="005C2738">
      <w:pPr>
        <w:jc w:val="both"/>
        <w:rPr>
          <w:lang w:val="cs-CZ"/>
        </w:rPr>
      </w:pPr>
    </w:p>
    <w:p w:rsidR="005C2738" w:rsidRPr="00CF5B13" w:rsidRDefault="005C2738" w:rsidP="005C2738">
      <w:pPr>
        <w:rPr>
          <w:lang w:val="cs-CZ"/>
        </w:rPr>
      </w:pPr>
      <w:r w:rsidRPr="00CF5B13">
        <w:rPr>
          <w:lang w:val="cs-CZ"/>
        </w:rPr>
        <w:br w:type="page"/>
      </w:r>
    </w:p>
    <w:p w:rsidR="00A917CE" w:rsidRPr="00CF5B13" w:rsidRDefault="00D23034" w:rsidP="003B2FE7">
      <w:pPr>
        <w:pStyle w:val="Nadpis1"/>
        <w:numPr>
          <w:ilvl w:val="0"/>
          <w:numId w:val="10"/>
        </w:numPr>
        <w:spacing w:before="0"/>
        <w:rPr>
          <w:lang w:val="cs-CZ"/>
        </w:rPr>
      </w:pPr>
      <w:bookmarkStart w:id="5" w:name="_Toc134015674"/>
      <w:r w:rsidRPr="00CF5B13">
        <w:rPr>
          <w:lang w:val="cs-CZ"/>
        </w:rPr>
        <w:lastRenderedPageBreak/>
        <w:t>Ochrana</w:t>
      </w:r>
      <w:bookmarkEnd w:id="5"/>
    </w:p>
    <w:p w:rsidR="0087625A" w:rsidRPr="00CF5B13" w:rsidRDefault="0087625A" w:rsidP="0087625A">
      <w:pPr>
        <w:spacing w:after="0"/>
        <w:rPr>
          <w:lang w:val="cs-CZ"/>
        </w:rPr>
      </w:pPr>
    </w:p>
    <w:p w:rsidR="00B42ADD" w:rsidRPr="00CF5B13" w:rsidRDefault="00B42ADD" w:rsidP="00B42ADD">
      <w:pPr>
        <w:spacing w:after="0" w:line="240" w:lineRule="auto"/>
        <w:ind w:right="-800"/>
        <w:jc w:val="both"/>
        <w:rPr>
          <w:rFonts w:ascii="Times New Roman" w:hAnsi="Times New Roman" w:cs="Times New Roman"/>
          <w:b/>
          <w:sz w:val="24"/>
          <w:szCs w:val="24"/>
          <w:lang w:val="cs-CZ"/>
        </w:rPr>
      </w:pPr>
      <w:r w:rsidRPr="00CF5B13">
        <w:rPr>
          <w:rFonts w:ascii="Times New Roman" w:hAnsi="Times New Roman" w:cs="Times New Roman"/>
          <w:b/>
          <w:sz w:val="24"/>
          <w:szCs w:val="24"/>
          <w:lang w:val="cs-CZ"/>
        </w:rPr>
        <w:t xml:space="preserve">Strategický cíl: </w:t>
      </w:r>
      <w:r w:rsidR="00D23034" w:rsidRPr="00CF5B13">
        <w:rPr>
          <w:rFonts w:ascii="Times New Roman" w:hAnsi="Times New Roman" w:cs="Times New Roman"/>
          <w:b/>
          <w:sz w:val="24"/>
          <w:szCs w:val="24"/>
          <w:lang w:val="cs-CZ"/>
        </w:rPr>
        <w:t>Systematicky posilovat začlenění genderové problematiky do všech oblastí souvisejících s mírem a bezpečností</w:t>
      </w:r>
      <w:r w:rsidR="00EE53CE" w:rsidRPr="00CF5B13">
        <w:rPr>
          <w:rFonts w:ascii="Times New Roman" w:hAnsi="Times New Roman" w:cs="Times New Roman"/>
          <w:b/>
          <w:sz w:val="24"/>
          <w:szCs w:val="24"/>
          <w:lang w:val="cs-CZ"/>
        </w:rPr>
        <w:t>.</w:t>
      </w:r>
    </w:p>
    <w:p w:rsidR="0087625A" w:rsidRPr="00CF5B13" w:rsidRDefault="0087625A" w:rsidP="00B42ADD">
      <w:pPr>
        <w:spacing w:after="0" w:line="240" w:lineRule="auto"/>
        <w:ind w:right="-800"/>
        <w:jc w:val="both"/>
        <w:rPr>
          <w:rFonts w:ascii="Times New Roman" w:hAnsi="Times New Roman" w:cs="Times New Roman"/>
          <w:b/>
          <w:sz w:val="24"/>
          <w:szCs w:val="24"/>
          <w:lang w:val="cs-CZ"/>
        </w:rPr>
      </w:pPr>
    </w:p>
    <w:tbl>
      <w:tblPr>
        <w:tblStyle w:val="Mkatabulky"/>
        <w:tblW w:w="10201" w:type="dxa"/>
        <w:tblLook w:val="04A0" w:firstRow="1" w:lastRow="0" w:firstColumn="1" w:lastColumn="0" w:noHBand="0" w:noVBand="1"/>
      </w:tblPr>
      <w:tblGrid>
        <w:gridCol w:w="6799"/>
        <w:gridCol w:w="3402"/>
      </w:tblGrid>
      <w:tr w:rsidR="00F73CAC" w:rsidRPr="00CF5B13" w:rsidTr="00D0567C">
        <w:tc>
          <w:tcPr>
            <w:tcW w:w="6799" w:type="dxa"/>
          </w:tcPr>
          <w:p w:rsidR="004557D6" w:rsidRPr="00CF5B13" w:rsidRDefault="004557D6" w:rsidP="004557D6">
            <w:pPr>
              <w:jc w:val="both"/>
              <w:rPr>
                <w:rFonts w:ascii="Times New Roman" w:hAnsi="Times New Roman" w:cs="Times New Roman"/>
                <w:b/>
                <w:i/>
                <w:sz w:val="24"/>
                <w:szCs w:val="24"/>
                <w:lang w:val="cs-CZ"/>
              </w:rPr>
            </w:pPr>
            <w:r w:rsidRPr="00CF5B13">
              <w:rPr>
                <w:rFonts w:ascii="Times New Roman" w:hAnsi="Times New Roman" w:cs="Times New Roman"/>
                <w:b/>
                <w:i/>
                <w:sz w:val="24"/>
                <w:szCs w:val="24"/>
                <w:lang w:val="cs-CZ"/>
              </w:rPr>
              <w:t>Opatření</w:t>
            </w:r>
          </w:p>
          <w:p w:rsidR="00F73CAC" w:rsidRPr="00CF5B13" w:rsidRDefault="004557D6" w:rsidP="00327664">
            <w:pPr>
              <w:spacing w:after="120"/>
              <w:jc w:val="both"/>
              <w:rPr>
                <w:rFonts w:ascii="Times New Roman" w:hAnsi="Times New Roman" w:cs="Times New Roman"/>
                <w:b/>
                <w:i/>
                <w:sz w:val="24"/>
                <w:szCs w:val="24"/>
                <w:lang w:val="cs-CZ"/>
              </w:rPr>
            </w:pPr>
            <w:r w:rsidRPr="00CF5B13">
              <w:rPr>
                <w:rFonts w:ascii="Times New Roman" w:hAnsi="Times New Roman" w:cs="Times New Roman"/>
                <w:b/>
                <w:i/>
                <w:sz w:val="24"/>
                <w:szCs w:val="24"/>
                <w:lang w:val="cs-CZ"/>
              </w:rPr>
              <w:t>(Odpovědná instituce/spolupracující instituce)</w:t>
            </w:r>
            <w:r w:rsidRPr="00CF5B13">
              <w:rPr>
                <w:rFonts w:ascii="Times New Roman" w:hAnsi="Times New Roman" w:cs="Times New Roman"/>
                <w:b/>
                <w:i/>
                <w:sz w:val="24"/>
                <w:szCs w:val="24"/>
                <w:lang w:val="cs-CZ"/>
              </w:rPr>
              <w:tab/>
            </w:r>
          </w:p>
        </w:tc>
        <w:tc>
          <w:tcPr>
            <w:tcW w:w="3402" w:type="dxa"/>
          </w:tcPr>
          <w:p w:rsidR="00F73CAC" w:rsidRPr="00CF5B13" w:rsidRDefault="004557D6" w:rsidP="00810DE9">
            <w:pPr>
              <w:rPr>
                <w:rFonts w:ascii="Times New Roman" w:hAnsi="Times New Roman" w:cs="Times New Roman"/>
                <w:b/>
                <w:i/>
                <w:sz w:val="24"/>
                <w:szCs w:val="24"/>
                <w:lang w:val="cs-CZ"/>
              </w:rPr>
            </w:pPr>
            <w:r w:rsidRPr="00CF5B13">
              <w:rPr>
                <w:rFonts w:ascii="Times New Roman" w:hAnsi="Times New Roman" w:cs="Times New Roman"/>
                <w:b/>
                <w:i/>
                <w:sz w:val="24"/>
                <w:szCs w:val="24"/>
                <w:lang w:val="cs-CZ"/>
              </w:rPr>
              <w:t xml:space="preserve">Vyhodnocení plnění opatření </w:t>
            </w:r>
          </w:p>
        </w:tc>
      </w:tr>
      <w:tr w:rsidR="00F73CAC" w:rsidRPr="00CF5B13" w:rsidTr="00D0567C">
        <w:tc>
          <w:tcPr>
            <w:tcW w:w="6799" w:type="dxa"/>
          </w:tcPr>
          <w:p w:rsidR="00795311" w:rsidRPr="00CF5B13" w:rsidRDefault="005C2738" w:rsidP="00F73CAC">
            <w:pPr>
              <w:jc w:val="both"/>
              <w:rPr>
                <w:rFonts w:ascii="Times New Roman" w:eastAsia="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t xml:space="preserve">2.1 </w:t>
            </w:r>
            <w:r w:rsidR="00F73CAC" w:rsidRPr="00CF5B13">
              <w:rPr>
                <w:rFonts w:ascii="Times New Roman" w:eastAsia="Times New Roman" w:hAnsi="Times New Roman" w:cs="Times New Roman"/>
                <w:b/>
                <w:color w:val="4472C4" w:themeColor="accent5"/>
                <w:sz w:val="24"/>
                <w:szCs w:val="24"/>
                <w:lang w:val="cs-CZ"/>
              </w:rPr>
              <w:t>Zařadit téma genderové rovnosti a WPS do kurzů přípravy lektorů/-ek primární prevence rizikového chování, kter</w:t>
            </w:r>
            <w:r w:rsidRPr="00CF5B13">
              <w:rPr>
                <w:rFonts w:ascii="Times New Roman" w:eastAsia="Times New Roman" w:hAnsi="Times New Roman" w:cs="Times New Roman"/>
                <w:b/>
                <w:color w:val="4472C4" w:themeColor="accent5"/>
                <w:sz w:val="24"/>
                <w:szCs w:val="24"/>
                <w:lang w:val="cs-CZ"/>
              </w:rPr>
              <w:t xml:space="preserve">ý organizuje Univerzita obrany. </w:t>
            </w:r>
          </w:p>
          <w:p w:rsidR="006068F2" w:rsidRPr="00CF5B13" w:rsidRDefault="006068F2" w:rsidP="00F73CAC">
            <w:pPr>
              <w:jc w:val="both"/>
              <w:rPr>
                <w:rFonts w:ascii="Times New Roman" w:eastAsia="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t>(MO)</w:t>
            </w:r>
          </w:p>
        </w:tc>
        <w:tc>
          <w:tcPr>
            <w:tcW w:w="3402" w:type="dxa"/>
          </w:tcPr>
          <w:p w:rsidR="00F73CAC" w:rsidRPr="00CF5B13" w:rsidRDefault="00EE0300" w:rsidP="006068F2">
            <w:pPr>
              <w:rPr>
                <w:rFonts w:ascii="Times New Roman" w:hAnsi="Times New Roman" w:cs="Times New Roman"/>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t>Splněno</w:t>
            </w:r>
          </w:p>
        </w:tc>
      </w:tr>
      <w:tr w:rsidR="006068F2" w:rsidRPr="00CF5B13" w:rsidTr="00405F3F">
        <w:tc>
          <w:tcPr>
            <w:tcW w:w="10201" w:type="dxa"/>
            <w:gridSpan w:val="2"/>
          </w:tcPr>
          <w:p w:rsidR="00EE0300" w:rsidRPr="00CF5B13" w:rsidRDefault="00EE0300" w:rsidP="00206B0F">
            <w:pPr>
              <w:spacing w:before="120"/>
              <w:jc w:val="both"/>
              <w:rPr>
                <w:rFonts w:ascii="Times New Roman" w:hAnsi="Times New Roman" w:cs="Times New Roman"/>
                <w:i/>
                <w:sz w:val="24"/>
                <w:szCs w:val="24"/>
              </w:rPr>
            </w:pPr>
            <w:r w:rsidRPr="00CF5B13">
              <w:rPr>
                <w:rFonts w:ascii="Times New Roman" w:hAnsi="Times New Roman" w:cs="Times New Roman"/>
                <w:sz w:val="24"/>
                <w:szCs w:val="24"/>
              </w:rPr>
              <w:t xml:space="preserve">V akademickém roce 2022/2023 byl při Univerzitě obrany zahájen   a realizován, v rámci programu celoživotního vzdělávání, kurz </w:t>
            </w:r>
            <w:r w:rsidRPr="00412C4E">
              <w:rPr>
                <w:rFonts w:ascii="Times New Roman" w:hAnsi="Times New Roman" w:cs="Times New Roman"/>
                <w:sz w:val="24"/>
                <w:szCs w:val="24"/>
              </w:rPr>
              <w:t>„Lektor primární prevence rizikového chování”.</w:t>
            </w:r>
            <w:r w:rsidR="003B2FE7" w:rsidRPr="00CF5B13">
              <w:rPr>
                <w:rFonts w:ascii="Times New Roman" w:hAnsi="Times New Roman" w:cs="Times New Roman"/>
                <w:i/>
                <w:sz w:val="24"/>
                <w:szCs w:val="24"/>
              </w:rPr>
              <w:t xml:space="preserve"> </w:t>
            </w:r>
            <w:r w:rsidRPr="00CF5B13">
              <w:rPr>
                <w:rFonts w:ascii="Times New Roman" w:hAnsi="Times New Roman" w:cs="Times New Roman"/>
                <w:sz w:val="24"/>
                <w:szCs w:val="24"/>
              </w:rPr>
              <w:t xml:space="preserve">14 frekventantů/frekventantek  – příslušníků </w:t>
            </w:r>
            <w:r w:rsidR="00047ED7" w:rsidRPr="00CF5B13">
              <w:rPr>
                <w:rFonts w:ascii="Times New Roman" w:hAnsi="Times New Roman" w:cs="Times New Roman"/>
                <w:sz w:val="24"/>
                <w:szCs w:val="24"/>
              </w:rPr>
              <w:t>resort</w:t>
            </w:r>
            <w:r w:rsidRPr="00CF5B13">
              <w:rPr>
                <w:rFonts w:ascii="Times New Roman" w:hAnsi="Times New Roman" w:cs="Times New Roman"/>
                <w:sz w:val="24"/>
                <w:szCs w:val="24"/>
              </w:rPr>
              <w:t xml:space="preserve">u MO – bude po absolvování závěrečné zkoušky v květnu 2023 připraveno prakticky vykonávat lektorskou činnost ve prospěch organizačních celků </w:t>
            </w:r>
            <w:r w:rsidR="00047ED7" w:rsidRPr="00CF5B13">
              <w:rPr>
                <w:rFonts w:ascii="Times New Roman" w:hAnsi="Times New Roman" w:cs="Times New Roman"/>
                <w:sz w:val="24"/>
                <w:szCs w:val="24"/>
              </w:rPr>
              <w:t>resort</w:t>
            </w:r>
            <w:r w:rsidRPr="00CF5B13">
              <w:rPr>
                <w:rFonts w:ascii="Times New Roman" w:hAnsi="Times New Roman" w:cs="Times New Roman"/>
                <w:sz w:val="24"/>
                <w:szCs w:val="24"/>
              </w:rPr>
              <w:t xml:space="preserve">u MO. Součástí jejich přípravy je oblast genderové rovnosti v působnosti </w:t>
            </w:r>
            <w:r w:rsidR="00047ED7" w:rsidRPr="00CF5B13">
              <w:rPr>
                <w:rFonts w:ascii="Times New Roman" w:hAnsi="Times New Roman" w:cs="Times New Roman"/>
                <w:sz w:val="24"/>
                <w:szCs w:val="24"/>
              </w:rPr>
              <w:t>resort</w:t>
            </w:r>
            <w:r w:rsidRPr="00CF5B13">
              <w:rPr>
                <w:rFonts w:ascii="Times New Roman" w:hAnsi="Times New Roman" w:cs="Times New Roman"/>
                <w:sz w:val="24"/>
                <w:szCs w:val="24"/>
              </w:rPr>
              <w:t>u MO.</w:t>
            </w:r>
          </w:p>
          <w:p w:rsidR="00EE0300" w:rsidRPr="00CF5B13" w:rsidRDefault="00EE0300" w:rsidP="003B2FE7">
            <w:pPr>
              <w:spacing w:before="60"/>
              <w:jc w:val="both"/>
              <w:rPr>
                <w:rFonts w:ascii="Times New Roman" w:hAnsi="Times New Roman" w:cs="Times New Roman"/>
                <w:sz w:val="24"/>
                <w:szCs w:val="24"/>
                <w:lang w:val="pt-PT"/>
              </w:rPr>
            </w:pPr>
            <w:r w:rsidRPr="00CF5B13">
              <w:rPr>
                <w:rFonts w:ascii="Times New Roman" w:hAnsi="Times New Roman" w:cs="Times New Roman"/>
                <w:sz w:val="24"/>
                <w:szCs w:val="24"/>
              </w:rPr>
              <w:t xml:space="preserve">Další aktivita zaměřená k tématu proběhla v měsíci listopadu v rámci pravidelné </w:t>
            </w:r>
            <w:r w:rsidRPr="00CF5B13">
              <w:rPr>
                <w:rFonts w:ascii="Times New Roman" w:hAnsi="Times New Roman" w:cs="Times New Roman"/>
                <w:i/>
                <w:sz w:val="24"/>
                <w:szCs w:val="24"/>
              </w:rPr>
              <w:t>Soustředěné odborné přípravy lektorů PRCH</w:t>
            </w:r>
            <w:r w:rsidRPr="00CF5B13">
              <w:rPr>
                <w:rFonts w:ascii="Times New Roman" w:hAnsi="Times New Roman" w:cs="Times New Roman"/>
                <w:sz w:val="24"/>
                <w:szCs w:val="24"/>
              </w:rPr>
              <w:t xml:space="preserve">. </w:t>
            </w:r>
            <w:r w:rsidRPr="00CF5B13">
              <w:rPr>
                <w:rFonts w:ascii="Times New Roman" w:hAnsi="Times New Roman" w:cs="Times New Roman"/>
                <w:sz w:val="24"/>
                <w:szCs w:val="24"/>
                <w:lang w:val="pt-PT"/>
              </w:rPr>
              <w:t xml:space="preserve">Jednalo se o seminář „Práce s násilím v blízkých vztazích“. Seminář byl organizován ve spolupráci s Odborem rovnosti žen a mužů Úřadu vlády ČR v rámci projektu </w:t>
            </w:r>
            <w:r w:rsidRPr="00CF5B13">
              <w:rPr>
                <w:rFonts w:ascii="Times New Roman" w:hAnsi="Times New Roman" w:cs="Times New Roman"/>
                <w:i/>
                <w:iCs/>
                <w:sz w:val="24"/>
                <w:szCs w:val="24"/>
                <w:lang w:val="pt-PT"/>
              </w:rPr>
              <w:t xml:space="preserve">Posilování kapacit a metodologická podpora v prevenci domácího a genderově podmíněného násilí. </w:t>
            </w:r>
            <w:r w:rsidRPr="00CF5B13">
              <w:rPr>
                <w:rFonts w:ascii="Times New Roman" w:hAnsi="Times New Roman" w:cs="Times New Roman"/>
                <w:sz w:val="24"/>
                <w:szCs w:val="24"/>
                <w:lang w:val="pt-PT"/>
              </w:rPr>
              <w:t>Vedli jej kliničtí psychologové norské organizace Alternativ til Vold (Alternative to Violence), kteří lektorům prevence v rámci tématu představili i film „Zuřivec“(Angry man), včetně metodické podpory jeho využívání v lektorské praxi.</w:t>
            </w:r>
          </w:p>
          <w:p w:rsidR="00EE0300" w:rsidRPr="00CF5B13" w:rsidRDefault="00EE0300" w:rsidP="00EE0300">
            <w:pPr>
              <w:jc w:val="both"/>
              <w:rPr>
                <w:rFonts w:ascii="Times New Roman" w:hAnsi="Times New Roman" w:cs="Times New Roman"/>
                <w:sz w:val="24"/>
                <w:szCs w:val="24"/>
                <w:lang w:val="pt-PT"/>
              </w:rPr>
            </w:pPr>
            <w:r w:rsidRPr="00CF5B13">
              <w:rPr>
                <w:rFonts w:ascii="Times New Roman" w:hAnsi="Times New Roman" w:cs="Times New Roman"/>
                <w:sz w:val="24"/>
                <w:szCs w:val="24"/>
                <w:lang w:val="pt-PT"/>
              </w:rPr>
              <w:t xml:space="preserve">Proškoleno bylo 20 lektorů prevence </w:t>
            </w:r>
            <w:r w:rsidR="00047ED7" w:rsidRPr="00CF5B13">
              <w:rPr>
                <w:rFonts w:ascii="Times New Roman" w:hAnsi="Times New Roman" w:cs="Times New Roman"/>
                <w:sz w:val="24"/>
                <w:szCs w:val="24"/>
                <w:lang w:val="pt-PT"/>
              </w:rPr>
              <w:t>resort</w:t>
            </w:r>
            <w:r w:rsidRPr="00CF5B13">
              <w:rPr>
                <w:rFonts w:ascii="Times New Roman" w:hAnsi="Times New Roman" w:cs="Times New Roman"/>
                <w:sz w:val="24"/>
                <w:szCs w:val="24"/>
                <w:lang w:val="pt-PT"/>
              </w:rPr>
              <w:t xml:space="preserve">u MO. </w:t>
            </w:r>
          </w:p>
          <w:p w:rsidR="006068F2" w:rsidRPr="00CF5B13" w:rsidRDefault="006068F2" w:rsidP="00224AC6">
            <w:pPr>
              <w:jc w:val="both"/>
              <w:rPr>
                <w:rFonts w:ascii="Times New Roman" w:hAnsi="Times New Roman" w:cs="Times New Roman"/>
                <w:sz w:val="24"/>
                <w:szCs w:val="24"/>
                <w:lang w:val="pt-PT"/>
              </w:rPr>
            </w:pPr>
          </w:p>
        </w:tc>
      </w:tr>
      <w:tr w:rsidR="00F73CAC" w:rsidRPr="00CF5B13" w:rsidTr="00D0567C">
        <w:tc>
          <w:tcPr>
            <w:tcW w:w="6799" w:type="dxa"/>
          </w:tcPr>
          <w:p w:rsidR="00795311" w:rsidRPr="00CF5B13" w:rsidRDefault="005C2738" w:rsidP="00F73CAC">
            <w:pPr>
              <w:jc w:val="both"/>
              <w:rPr>
                <w:rFonts w:ascii="Times New Roman" w:eastAsia="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t xml:space="preserve">2.2 </w:t>
            </w:r>
            <w:r w:rsidR="00F73CAC" w:rsidRPr="00CF5B13">
              <w:rPr>
                <w:rFonts w:ascii="Times New Roman" w:eastAsia="Times New Roman" w:hAnsi="Times New Roman" w:cs="Times New Roman"/>
                <w:b/>
                <w:color w:val="4472C4" w:themeColor="accent5"/>
                <w:sz w:val="24"/>
                <w:szCs w:val="24"/>
                <w:lang w:val="cs-CZ"/>
              </w:rPr>
              <w:t>Připravit úvodní e-learning na téma genderové rovnosti, který bude dostupný k využití pr</w:t>
            </w:r>
            <w:r w:rsidRPr="00CF5B13">
              <w:rPr>
                <w:rFonts w:ascii="Times New Roman" w:eastAsia="Times New Roman" w:hAnsi="Times New Roman" w:cs="Times New Roman"/>
                <w:b/>
                <w:color w:val="4472C4" w:themeColor="accent5"/>
                <w:sz w:val="24"/>
                <w:szCs w:val="24"/>
                <w:lang w:val="cs-CZ"/>
              </w:rPr>
              <w:t xml:space="preserve">o pracovníky/-ice MZV, MV a MO. </w:t>
            </w:r>
          </w:p>
          <w:p w:rsidR="006068F2" w:rsidRPr="00CF5B13" w:rsidRDefault="006068F2" w:rsidP="003B2FE7">
            <w:pPr>
              <w:spacing w:after="120"/>
              <w:jc w:val="both"/>
              <w:rPr>
                <w:rFonts w:ascii="Times New Roman" w:eastAsia="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t>(</w:t>
            </w:r>
            <w:r w:rsidRPr="00CF5B13">
              <w:rPr>
                <w:rFonts w:ascii="Times New Roman" w:hAnsi="Times New Roman" w:cs="Times New Roman"/>
                <w:b/>
                <w:color w:val="4472C4" w:themeColor="accent5"/>
                <w:sz w:val="24"/>
                <w:szCs w:val="24"/>
                <w:lang w:val="cs-CZ"/>
              </w:rPr>
              <w:t>ÚV/MZV, MV, MO)</w:t>
            </w:r>
          </w:p>
        </w:tc>
        <w:tc>
          <w:tcPr>
            <w:tcW w:w="3402" w:type="dxa"/>
          </w:tcPr>
          <w:p w:rsidR="00F73CAC" w:rsidRPr="00CF5B13" w:rsidRDefault="00206B0F" w:rsidP="008E5769">
            <w:pPr>
              <w:rPr>
                <w:rFonts w:ascii="Times New Roman" w:hAnsi="Times New Roman" w:cs="Times New Roman"/>
                <w:sz w:val="24"/>
                <w:szCs w:val="24"/>
                <w:lang w:val="cs-CZ"/>
              </w:rPr>
            </w:pPr>
            <w:r w:rsidRPr="00CF5B13">
              <w:rPr>
                <w:rFonts w:ascii="Times New Roman" w:eastAsia="Times New Roman" w:hAnsi="Times New Roman" w:cs="Times New Roman"/>
                <w:b/>
                <w:color w:val="4472C4" w:themeColor="accent5"/>
                <w:sz w:val="24"/>
                <w:szCs w:val="24"/>
                <w:lang w:val="cs-CZ"/>
              </w:rPr>
              <w:t>Splněno</w:t>
            </w:r>
          </w:p>
        </w:tc>
      </w:tr>
      <w:tr w:rsidR="0044160F" w:rsidRPr="00412C4E" w:rsidTr="00405F3F">
        <w:tc>
          <w:tcPr>
            <w:tcW w:w="10201" w:type="dxa"/>
            <w:gridSpan w:val="2"/>
          </w:tcPr>
          <w:p w:rsidR="0044160F" w:rsidRPr="00CF5B13" w:rsidRDefault="0044160F" w:rsidP="0044160F">
            <w:pPr>
              <w:jc w:val="both"/>
              <w:rPr>
                <w:rFonts w:ascii="Times New Roman" w:hAnsi="Times New Roman" w:cs="Times New Roman"/>
                <w:sz w:val="24"/>
                <w:szCs w:val="24"/>
                <w:lang w:val="cs-CZ"/>
              </w:rPr>
            </w:pPr>
            <w:r w:rsidRPr="00CF5B13">
              <w:rPr>
                <w:rFonts w:ascii="Times New Roman" w:hAnsi="Times New Roman" w:cs="Times New Roman"/>
                <w:sz w:val="24"/>
                <w:szCs w:val="24"/>
                <w:lang w:val="cs-CZ"/>
              </w:rPr>
              <w:t>ÚV ČR v roce 2022 spustil e-learning k genderové rovnosti pro státní správu, který je zaměřený na řádné provádění Gender Impact Assessment a využívání Metodiky hodnocení dopadů na rovnost žen a mužů pro materiály předkládané vládě ČR.</w:t>
            </w:r>
          </w:p>
          <w:p w:rsidR="0044160F" w:rsidRPr="00CF5B13" w:rsidRDefault="0044160F" w:rsidP="009B6309">
            <w:pPr>
              <w:spacing w:before="60" w:after="120"/>
              <w:jc w:val="both"/>
              <w:rPr>
                <w:rFonts w:ascii="Times New Roman" w:hAnsi="Times New Roman" w:cs="Times New Roman"/>
                <w:sz w:val="24"/>
                <w:szCs w:val="24"/>
                <w:lang w:val="cs-CZ"/>
              </w:rPr>
            </w:pPr>
            <w:r w:rsidRPr="00CF5B13">
              <w:rPr>
                <w:rFonts w:ascii="Times New Roman" w:hAnsi="Times New Roman" w:cs="Times New Roman"/>
                <w:sz w:val="24"/>
                <w:szCs w:val="24"/>
                <w:lang w:val="cs-CZ"/>
              </w:rPr>
              <w:t>E-learning je dostupný na:</w:t>
            </w:r>
            <w:r w:rsidR="009B6309" w:rsidRPr="00CF5B13">
              <w:rPr>
                <w:rFonts w:ascii="Times New Roman" w:hAnsi="Times New Roman" w:cs="Times New Roman"/>
                <w:sz w:val="24"/>
                <w:szCs w:val="24"/>
                <w:lang w:val="cs-CZ"/>
              </w:rPr>
              <w:t xml:space="preserve">  </w:t>
            </w:r>
            <w:hyperlink r:id="rId18" w:history="1">
              <w:r w:rsidR="009B6309" w:rsidRPr="00CF5B13">
                <w:rPr>
                  <w:rStyle w:val="Hypertextovodkaz"/>
                  <w:rFonts w:ascii="Times New Roman" w:hAnsi="Times New Roman"/>
                  <w:sz w:val="24"/>
                  <w:szCs w:val="24"/>
                  <w:lang w:val="cs-CZ"/>
                </w:rPr>
                <w:t>https://sway.office.com/N19nGE0OXP7mdlDA</w:t>
              </w:r>
            </w:hyperlink>
            <w:r w:rsidR="009B6309" w:rsidRPr="00CF5B13">
              <w:rPr>
                <w:rFonts w:ascii="Times New Roman" w:hAnsi="Times New Roman" w:cs="Times New Roman"/>
                <w:sz w:val="24"/>
                <w:szCs w:val="24"/>
                <w:lang w:val="cs-CZ"/>
              </w:rPr>
              <w:t xml:space="preserve"> </w:t>
            </w:r>
          </w:p>
          <w:p w:rsidR="0044160F" w:rsidRPr="00CF5B13" w:rsidRDefault="0044160F" w:rsidP="009B6309">
            <w:pPr>
              <w:jc w:val="both"/>
              <w:rPr>
                <w:rFonts w:ascii="Times New Roman" w:hAnsi="Times New Roman" w:cs="Times New Roman"/>
                <w:sz w:val="24"/>
                <w:szCs w:val="24"/>
                <w:lang w:val="cs-CZ"/>
              </w:rPr>
            </w:pPr>
            <w:r w:rsidRPr="00CF5B13">
              <w:rPr>
                <w:rFonts w:ascii="Times New Roman" w:hAnsi="Times New Roman" w:cs="Times New Roman"/>
                <w:sz w:val="24"/>
                <w:szCs w:val="24"/>
                <w:lang w:val="cs-CZ"/>
              </w:rPr>
              <w:t xml:space="preserve">Odbor rovnosti žen a mužů ÚV ČR o dostupnosti e-learningu informoval </w:t>
            </w:r>
            <w:r w:rsidR="00047ED7" w:rsidRPr="00CF5B13">
              <w:rPr>
                <w:rFonts w:ascii="Times New Roman" w:hAnsi="Times New Roman" w:cs="Times New Roman"/>
                <w:sz w:val="24"/>
                <w:szCs w:val="24"/>
                <w:lang w:val="cs-CZ"/>
              </w:rPr>
              <w:t>resort</w:t>
            </w:r>
            <w:r w:rsidRPr="00CF5B13">
              <w:rPr>
                <w:rFonts w:ascii="Times New Roman" w:hAnsi="Times New Roman" w:cs="Times New Roman"/>
                <w:sz w:val="24"/>
                <w:szCs w:val="24"/>
                <w:lang w:val="cs-CZ"/>
              </w:rPr>
              <w:t xml:space="preserve">ní koordinátorky a koordinátory rovnosti žen a mužů a prostřednictvím svých webových stránek. </w:t>
            </w:r>
          </w:p>
          <w:p w:rsidR="0044160F" w:rsidRPr="00CF5B13" w:rsidRDefault="0044160F" w:rsidP="0044160F">
            <w:pPr>
              <w:jc w:val="both"/>
              <w:rPr>
                <w:rFonts w:ascii="Times New Roman" w:hAnsi="Times New Roman" w:cs="Times New Roman"/>
                <w:sz w:val="24"/>
                <w:szCs w:val="24"/>
                <w:lang w:val="cs-CZ"/>
              </w:rPr>
            </w:pPr>
          </w:p>
        </w:tc>
      </w:tr>
      <w:tr w:rsidR="0044160F" w:rsidRPr="00412C4E" w:rsidTr="00D0567C">
        <w:tc>
          <w:tcPr>
            <w:tcW w:w="6799" w:type="dxa"/>
          </w:tcPr>
          <w:p w:rsidR="0044160F" w:rsidRPr="00CF5B13" w:rsidRDefault="0044160F" w:rsidP="0044160F">
            <w:pPr>
              <w:jc w:val="both"/>
              <w:rPr>
                <w:rFonts w:ascii="Times New Roman" w:eastAsia="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t xml:space="preserve">2.3 Připravit e-learning na téma WPS,  který bude určený pro nové pracovníky/-ice pro Agendu WPS klíčových odborů a další zájemce/-kyně z řad MZV, MV, MO </w:t>
            </w:r>
          </w:p>
          <w:p w:rsidR="0044160F" w:rsidRPr="00CF5B13" w:rsidRDefault="0044160F" w:rsidP="0044160F">
            <w:pPr>
              <w:jc w:val="both"/>
              <w:rPr>
                <w:rFonts w:ascii="Times New Roman" w:eastAsia="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t>(MZV)</w:t>
            </w:r>
          </w:p>
        </w:tc>
        <w:tc>
          <w:tcPr>
            <w:tcW w:w="3402" w:type="dxa"/>
          </w:tcPr>
          <w:p w:rsidR="0044160F" w:rsidRPr="00CF5B13" w:rsidRDefault="0044160F" w:rsidP="0044160F">
            <w:pPr>
              <w:rPr>
                <w:rFonts w:ascii="Times New Roman" w:eastAsia="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t>Prozatím nesplněno</w:t>
            </w:r>
          </w:p>
          <w:p w:rsidR="0044160F" w:rsidRPr="00CF5B13" w:rsidRDefault="0044160F" w:rsidP="0044160F">
            <w:pPr>
              <w:rPr>
                <w:rFonts w:ascii="Times New Roman" w:hAnsi="Times New Roman" w:cs="Times New Roman"/>
                <w:sz w:val="24"/>
                <w:szCs w:val="24"/>
                <w:lang w:val="cs-CZ"/>
              </w:rPr>
            </w:pPr>
            <w:r w:rsidRPr="00CF5B13">
              <w:rPr>
                <w:rFonts w:ascii="Times New Roman" w:eastAsia="Times New Roman" w:hAnsi="Times New Roman" w:cs="Times New Roman"/>
                <w:color w:val="4472C4" w:themeColor="accent5"/>
                <w:sz w:val="24"/>
                <w:szCs w:val="24"/>
                <w:lang w:val="cs-CZ"/>
              </w:rPr>
              <w:t>Plnění proběhne v následujícím období</w:t>
            </w:r>
          </w:p>
        </w:tc>
      </w:tr>
      <w:tr w:rsidR="0044160F" w:rsidRPr="00412C4E" w:rsidTr="00405F3F">
        <w:tc>
          <w:tcPr>
            <w:tcW w:w="10201" w:type="dxa"/>
            <w:gridSpan w:val="2"/>
          </w:tcPr>
          <w:p w:rsidR="0044160F" w:rsidRPr="00CF5B13" w:rsidRDefault="00206B0F" w:rsidP="003B2FE7">
            <w:pPr>
              <w:spacing w:before="120"/>
              <w:jc w:val="both"/>
              <w:rPr>
                <w:rFonts w:ascii="Times New Roman" w:hAnsi="Times New Roman" w:cs="Times New Roman"/>
                <w:sz w:val="24"/>
                <w:szCs w:val="24"/>
                <w:lang w:val="cs-CZ"/>
              </w:rPr>
            </w:pPr>
            <w:r w:rsidRPr="00CF5B13">
              <w:rPr>
                <w:rFonts w:ascii="Times New Roman" w:hAnsi="Times New Roman" w:cs="Times New Roman"/>
                <w:sz w:val="24"/>
                <w:szCs w:val="24"/>
                <w:lang w:val="cs-CZ"/>
              </w:rPr>
              <w:t>Kroky k přípravě e</w:t>
            </w:r>
            <w:r w:rsidR="0044160F" w:rsidRPr="00CF5B13">
              <w:rPr>
                <w:rFonts w:ascii="Times New Roman" w:hAnsi="Times New Roman" w:cs="Times New Roman"/>
                <w:sz w:val="24"/>
                <w:szCs w:val="24"/>
                <w:lang w:val="cs-CZ"/>
              </w:rPr>
              <w:t>-learning</w:t>
            </w:r>
            <w:r w:rsidRPr="00CF5B13">
              <w:rPr>
                <w:rFonts w:ascii="Times New Roman" w:hAnsi="Times New Roman" w:cs="Times New Roman"/>
                <w:sz w:val="24"/>
                <w:szCs w:val="24"/>
                <w:lang w:val="cs-CZ"/>
              </w:rPr>
              <w:t>u</w:t>
            </w:r>
            <w:r w:rsidR="0044160F" w:rsidRPr="00CF5B13">
              <w:rPr>
                <w:rFonts w:ascii="Times New Roman" w:hAnsi="Times New Roman" w:cs="Times New Roman"/>
                <w:sz w:val="24"/>
                <w:szCs w:val="24"/>
                <w:lang w:val="cs-CZ"/>
              </w:rPr>
              <w:t xml:space="preserve"> na téma WPS bud</w:t>
            </w:r>
            <w:r w:rsidR="00695F14" w:rsidRPr="00CF5B13">
              <w:rPr>
                <w:rFonts w:ascii="Times New Roman" w:hAnsi="Times New Roman" w:cs="Times New Roman"/>
                <w:sz w:val="24"/>
                <w:szCs w:val="24"/>
                <w:lang w:val="cs-CZ"/>
              </w:rPr>
              <w:t>ou zahá</w:t>
            </w:r>
            <w:r w:rsidRPr="00CF5B13">
              <w:rPr>
                <w:rFonts w:ascii="Times New Roman" w:hAnsi="Times New Roman" w:cs="Times New Roman"/>
                <w:sz w:val="24"/>
                <w:szCs w:val="24"/>
                <w:lang w:val="cs-CZ"/>
              </w:rPr>
              <w:t>jeny</w:t>
            </w:r>
            <w:r w:rsidR="0044160F" w:rsidRPr="00CF5B13">
              <w:rPr>
                <w:rFonts w:ascii="Times New Roman" w:hAnsi="Times New Roman" w:cs="Times New Roman"/>
                <w:sz w:val="24"/>
                <w:szCs w:val="24"/>
                <w:lang w:val="cs-CZ"/>
              </w:rPr>
              <w:t xml:space="preserve"> v následujícím období ve spolupráci s akademickou obcí.</w:t>
            </w:r>
          </w:p>
          <w:p w:rsidR="009B6309" w:rsidRPr="00CF5B13" w:rsidRDefault="009B6309" w:rsidP="003B2FE7">
            <w:pPr>
              <w:spacing w:before="120"/>
              <w:jc w:val="both"/>
              <w:rPr>
                <w:rFonts w:ascii="Times New Roman" w:hAnsi="Times New Roman" w:cs="Times New Roman"/>
                <w:sz w:val="24"/>
                <w:szCs w:val="24"/>
                <w:lang w:val="cs-CZ"/>
              </w:rPr>
            </w:pPr>
          </w:p>
        </w:tc>
      </w:tr>
      <w:tr w:rsidR="0044160F" w:rsidRPr="00CF5B13" w:rsidTr="00D0567C">
        <w:tc>
          <w:tcPr>
            <w:tcW w:w="6799" w:type="dxa"/>
          </w:tcPr>
          <w:p w:rsidR="0044160F" w:rsidRPr="00CF5B13" w:rsidRDefault="0044160F" w:rsidP="0044160F">
            <w:pPr>
              <w:jc w:val="both"/>
              <w:rPr>
                <w:rFonts w:ascii="Times New Roman" w:eastAsia="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lastRenderedPageBreak/>
              <w:t xml:space="preserve">2.4 Provést každoroční školení na konkrétní téma v rámci Agendy WPS otevřené pro zájemce/-kyně ze státní správy, NNO a akademické obce. </w:t>
            </w:r>
          </w:p>
          <w:p w:rsidR="0044160F" w:rsidRPr="00CF5B13" w:rsidRDefault="0044160F" w:rsidP="0044160F">
            <w:pPr>
              <w:jc w:val="both"/>
              <w:rPr>
                <w:rFonts w:ascii="Times New Roman" w:eastAsia="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t>(MZV/ÚV)</w:t>
            </w:r>
          </w:p>
        </w:tc>
        <w:tc>
          <w:tcPr>
            <w:tcW w:w="3402" w:type="dxa"/>
          </w:tcPr>
          <w:p w:rsidR="0044160F" w:rsidRPr="00CF5B13" w:rsidRDefault="0044160F" w:rsidP="0044160F">
            <w:pPr>
              <w:jc w:val="both"/>
              <w:rPr>
                <w:rFonts w:ascii="Times New Roman" w:hAnsi="Times New Roman" w:cs="Times New Roman"/>
                <w:sz w:val="24"/>
                <w:szCs w:val="24"/>
                <w:lang w:val="cs-CZ"/>
              </w:rPr>
            </w:pPr>
            <w:r w:rsidRPr="00CF5B13">
              <w:rPr>
                <w:rFonts w:ascii="Times New Roman" w:eastAsia="Times New Roman" w:hAnsi="Times New Roman" w:cs="Times New Roman"/>
                <w:b/>
                <w:color w:val="4472C4" w:themeColor="accent5"/>
                <w:sz w:val="24"/>
                <w:szCs w:val="24"/>
                <w:lang w:val="cs-CZ"/>
              </w:rPr>
              <w:t>Splněno</w:t>
            </w:r>
          </w:p>
        </w:tc>
      </w:tr>
      <w:tr w:rsidR="0044160F" w:rsidRPr="00412C4E" w:rsidTr="00405F3F">
        <w:tc>
          <w:tcPr>
            <w:tcW w:w="10201" w:type="dxa"/>
            <w:gridSpan w:val="2"/>
          </w:tcPr>
          <w:p w:rsidR="00F34662" w:rsidRPr="00CF5B13" w:rsidRDefault="00F34662" w:rsidP="007A7FA6">
            <w:pPr>
              <w:pStyle w:val="Odstavecseseznamem"/>
              <w:numPr>
                <w:ilvl w:val="0"/>
                <w:numId w:val="12"/>
              </w:numPr>
              <w:spacing w:before="120"/>
              <w:jc w:val="both"/>
              <w:rPr>
                <w:rFonts w:ascii="Times New Roman" w:hAnsi="Times New Roman" w:cs="Times New Roman"/>
                <w:b/>
                <w:sz w:val="24"/>
                <w:szCs w:val="24"/>
                <w:u w:val="single"/>
                <w:lang w:val="cs-CZ"/>
              </w:rPr>
            </w:pPr>
            <w:r w:rsidRPr="00CF5B13">
              <w:rPr>
                <w:rFonts w:ascii="Times New Roman" w:hAnsi="Times New Roman" w:cs="Times New Roman"/>
                <w:b/>
                <w:sz w:val="24"/>
                <w:szCs w:val="24"/>
                <w:u w:val="single"/>
                <w:lang w:val="cs-CZ"/>
              </w:rPr>
              <w:t>Ministerstvo zahraničních věcí</w:t>
            </w:r>
          </w:p>
          <w:p w:rsidR="0044160F" w:rsidRPr="00CF5B13" w:rsidRDefault="0044160F" w:rsidP="00327664">
            <w:pPr>
              <w:spacing w:before="120"/>
              <w:jc w:val="both"/>
              <w:rPr>
                <w:rFonts w:ascii="Times New Roman" w:hAnsi="Times New Roman" w:cs="Times New Roman"/>
                <w:sz w:val="24"/>
                <w:szCs w:val="24"/>
                <w:lang w:val="cs-CZ"/>
              </w:rPr>
            </w:pPr>
            <w:r w:rsidRPr="00CF5B13">
              <w:rPr>
                <w:rFonts w:ascii="Times New Roman" w:hAnsi="Times New Roman" w:cs="Times New Roman"/>
                <w:sz w:val="24"/>
                <w:szCs w:val="24"/>
                <w:lang w:val="cs-CZ"/>
              </w:rPr>
              <w:t xml:space="preserve">MZV uspořádalo dne 21. 6. 2022 ve spolupráci s ÚMV a Heinrich Böll Stiftung uzavřený seminář </w:t>
            </w:r>
            <w:r w:rsidRPr="00412C4E">
              <w:rPr>
                <w:rFonts w:ascii="Times New Roman" w:hAnsi="Times New Roman" w:cs="Times New Roman"/>
                <w:i/>
                <w:sz w:val="24"/>
                <w:szCs w:val="24"/>
                <w:lang w:val="cs-CZ"/>
              </w:rPr>
              <w:t>International Arms Trade and Gender-Responsive Human Rights</w:t>
            </w:r>
            <w:r w:rsidRPr="00CF5B13">
              <w:rPr>
                <w:rFonts w:ascii="Times New Roman" w:hAnsi="Times New Roman" w:cs="Times New Roman"/>
                <w:sz w:val="24"/>
                <w:szCs w:val="24"/>
                <w:lang w:val="cs-CZ"/>
              </w:rPr>
              <w:t xml:space="preserve"> pro pracovníky státní správy zapojené do posuzování žádostí o udělení licence na vývoz vojenského materiálu a zástupce občanské společnosti. </w:t>
            </w:r>
            <w:r w:rsidR="00F34662" w:rsidRPr="00CF5B13">
              <w:rPr>
                <w:rFonts w:ascii="Times New Roman" w:hAnsi="Times New Roman" w:cs="Times New Roman"/>
                <w:sz w:val="24"/>
                <w:szCs w:val="24"/>
                <w:lang w:val="cs-CZ"/>
              </w:rPr>
              <w:t>MZV zahájilo na podzim 2022 přípravu setkání plánovaného na rok 2023.</w:t>
            </w:r>
          </w:p>
          <w:p w:rsidR="0044160F" w:rsidRPr="00CF5B13" w:rsidRDefault="0044160F" w:rsidP="0044160F">
            <w:pPr>
              <w:jc w:val="both"/>
              <w:rPr>
                <w:rFonts w:ascii="Times New Roman" w:hAnsi="Times New Roman" w:cs="Times New Roman"/>
                <w:sz w:val="24"/>
                <w:szCs w:val="24"/>
                <w:lang w:val="cs-CZ"/>
              </w:rPr>
            </w:pPr>
          </w:p>
          <w:p w:rsidR="00F34662" w:rsidRPr="00CF5B13" w:rsidRDefault="00F34662" w:rsidP="00F34662">
            <w:pPr>
              <w:pStyle w:val="Odstavecseseznamem"/>
              <w:numPr>
                <w:ilvl w:val="0"/>
                <w:numId w:val="12"/>
              </w:numPr>
              <w:jc w:val="both"/>
              <w:rPr>
                <w:rFonts w:ascii="Times New Roman" w:hAnsi="Times New Roman" w:cs="Times New Roman"/>
                <w:b/>
                <w:sz w:val="24"/>
                <w:szCs w:val="24"/>
                <w:u w:val="single"/>
                <w:lang w:val="cs-CZ"/>
              </w:rPr>
            </w:pPr>
            <w:r w:rsidRPr="00CF5B13">
              <w:rPr>
                <w:rFonts w:ascii="Times New Roman" w:hAnsi="Times New Roman" w:cs="Times New Roman"/>
                <w:b/>
                <w:sz w:val="24"/>
                <w:szCs w:val="24"/>
                <w:u w:val="single"/>
                <w:lang w:val="cs-CZ"/>
              </w:rPr>
              <w:t>Úřad vlády</w:t>
            </w:r>
          </w:p>
          <w:p w:rsidR="005E6869" w:rsidRPr="00CF5B13" w:rsidRDefault="007A7FA6" w:rsidP="00327664">
            <w:pPr>
              <w:spacing w:before="120"/>
              <w:jc w:val="both"/>
              <w:rPr>
                <w:rFonts w:ascii="Times New Roman" w:hAnsi="Times New Roman" w:cs="Times New Roman"/>
                <w:sz w:val="24"/>
                <w:szCs w:val="24"/>
                <w:lang w:val="cs-CZ"/>
              </w:rPr>
            </w:pPr>
            <w:r w:rsidRPr="00CF5B13">
              <w:rPr>
                <w:rFonts w:ascii="Times New Roman" w:hAnsi="Times New Roman" w:cs="Times New Roman"/>
                <w:sz w:val="24"/>
                <w:szCs w:val="24"/>
                <w:lang w:val="cs-CZ"/>
              </w:rPr>
              <w:t>Jako každoročně se</w:t>
            </w:r>
            <w:r w:rsidR="0044160F" w:rsidRPr="00CF5B13">
              <w:rPr>
                <w:rFonts w:ascii="Times New Roman" w:hAnsi="Times New Roman" w:cs="Times New Roman"/>
                <w:sz w:val="24"/>
                <w:szCs w:val="24"/>
                <w:lang w:val="cs-CZ"/>
              </w:rPr>
              <w:t xml:space="preserve"> v rámci Diplomatické akademie MZV uskutečnila přednáška k genderové rovnosti ve vnějších vztazích, kterou zajišťuje Odbor rovnosti žen a mužů Ú</w:t>
            </w:r>
            <w:r w:rsidR="00285DD3" w:rsidRPr="00CF5B13">
              <w:rPr>
                <w:rFonts w:ascii="Times New Roman" w:hAnsi="Times New Roman" w:cs="Times New Roman"/>
                <w:sz w:val="24"/>
                <w:szCs w:val="24"/>
                <w:lang w:val="cs-CZ"/>
              </w:rPr>
              <w:t>V</w:t>
            </w:r>
            <w:r w:rsidR="0044160F" w:rsidRPr="00CF5B13">
              <w:rPr>
                <w:rFonts w:ascii="Times New Roman" w:hAnsi="Times New Roman" w:cs="Times New Roman"/>
                <w:sz w:val="24"/>
                <w:szCs w:val="24"/>
                <w:lang w:val="cs-CZ"/>
              </w:rPr>
              <w:t xml:space="preserve"> ČR. </w:t>
            </w:r>
            <w:r w:rsidRPr="00CF5B13">
              <w:rPr>
                <w:rFonts w:ascii="Times New Roman" w:hAnsi="Times New Roman" w:cs="Times New Roman"/>
                <w:sz w:val="24"/>
                <w:szCs w:val="24"/>
                <w:lang w:val="cs-CZ"/>
              </w:rPr>
              <w:t>P</w:t>
            </w:r>
            <w:r w:rsidR="0044160F" w:rsidRPr="00CF5B13">
              <w:rPr>
                <w:rFonts w:ascii="Times New Roman" w:hAnsi="Times New Roman" w:cs="Times New Roman"/>
                <w:sz w:val="24"/>
                <w:szCs w:val="24"/>
                <w:lang w:val="cs-CZ"/>
              </w:rPr>
              <w:t>řednášk</w:t>
            </w:r>
            <w:r w:rsidRPr="00CF5B13">
              <w:rPr>
                <w:rFonts w:ascii="Times New Roman" w:hAnsi="Times New Roman" w:cs="Times New Roman"/>
                <w:sz w:val="24"/>
                <w:szCs w:val="24"/>
                <w:lang w:val="cs-CZ"/>
              </w:rPr>
              <w:t xml:space="preserve">a, která se mj. zaměřila i na agendu WPS, </w:t>
            </w:r>
            <w:r w:rsidR="0044160F" w:rsidRPr="00CF5B13">
              <w:rPr>
                <w:rFonts w:ascii="Times New Roman" w:hAnsi="Times New Roman" w:cs="Times New Roman"/>
                <w:sz w:val="24"/>
                <w:szCs w:val="24"/>
                <w:lang w:val="cs-CZ"/>
              </w:rPr>
              <w:t>byla otevřena za</w:t>
            </w:r>
            <w:r w:rsidRPr="00CF5B13">
              <w:rPr>
                <w:rFonts w:ascii="Times New Roman" w:hAnsi="Times New Roman" w:cs="Times New Roman"/>
                <w:sz w:val="24"/>
                <w:szCs w:val="24"/>
                <w:lang w:val="cs-CZ"/>
              </w:rPr>
              <w:t>městnancům a zaměstnankyním MZV</w:t>
            </w:r>
            <w:r w:rsidR="00AD4775" w:rsidRPr="00CF5B13">
              <w:rPr>
                <w:rFonts w:ascii="Times New Roman" w:hAnsi="Times New Roman" w:cs="Times New Roman"/>
                <w:sz w:val="24"/>
                <w:szCs w:val="24"/>
                <w:lang w:val="cs-CZ"/>
              </w:rPr>
              <w:t xml:space="preserve"> (pozn: s</w:t>
            </w:r>
            <w:r w:rsidR="00285DD3" w:rsidRPr="00CF5B13">
              <w:rPr>
                <w:rFonts w:ascii="Times New Roman" w:hAnsi="Times New Roman" w:cs="Times New Roman"/>
                <w:sz w:val="24"/>
                <w:szCs w:val="24"/>
                <w:lang w:val="cs-CZ"/>
              </w:rPr>
              <w:t>oučástí</w:t>
            </w:r>
            <w:r w:rsidR="0044160F" w:rsidRPr="00CF5B13">
              <w:rPr>
                <w:rFonts w:ascii="Times New Roman" w:hAnsi="Times New Roman" w:cs="Times New Roman"/>
                <w:sz w:val="24"/>
                <w:szCs w:val="24"/>
                <w:lang w:val="cs-CZ"/>
              </w:rPr>
              <w:t xml:space="preserve"> vzdělávací</w:t>
            </w:r>
            <w:r w:rsidR="00285DD3" w:rsidRPr="00CF5B13">
              <w:rPr>
                <w:rFonts w:ascii="Times New Roman" w:hAnsi="Times New Roman" w:cs="Times New Roman"/>
                <w:sz w:val="24"/>
                <w:szCs w:val="24"/>
                <w:lang w:val="cs-CZ"/>
              </w:rPr>
              <w:t>ho</w:t>
            </w:r>
            <w:r w:rsidR="0044160F" w:rsidRPr="00CF5B13">
              <w:rPr>
                <w:rFonts w:ascii="Times New Roman" w:hAnsi="Times New Roman" w:cs="Times New Roman"/>
                <w:sz w:val="24"/>
                <w:szCs w:val="24"/>
                <w:lang w:val="cs-CZ"/>
              </w:rPr>
              <w:t xml:space="preserve"> kurikul</w:t>
            </w:r>
            <w:r w:rsidR="00285DD3" w:rsidRPr="00CF5B13">
              <w:rPr>
                <w:rFonts w:ascii="Times New Roman" w:hAnsi="Times New Roman" w:cs="Times New Roman"/>
                <w:sz w:val="24"/>
                <w:szCs w:val="24"/>
                <w:lang w:val="cs-CZ"/>
              </w:rPr>
              <w:t>a diplomatických koncipientů je vždy</w:t>
            </w:r>
            <w:r w:rsidR="0044160F" w:rsidRPr="00CF5B13">
              <w:rPr>
                <w:rFonts w:ascii="Times New Roman" w:hAnsi="Times New Roman" w:cs="Times New Roman"/>
                <w:sz w:val="24"/>
                <w:szCs w:val="24"/>
                <w:lang w:val="cs-CZ"/>
              </w:rPr>
              <w:t xml:space="preserve"> </w:t>
            </w:r>
            <w:r w:rsidR="005E6869" w:rsidRPr="00CF5B13">
              <w:rPr>
                <w:rFonts w:ascii="Times New Roman" w:hAnsi="Times New Roman" w:cs="Times New Roman"/>
                <w:sz w:val="24"/>
                <w:szCs w:val="24"/>
                <w:lang w:val="cs-CZ"/>
              </w:rPr>
              <w:t>modul</w:t>
            </w:r>
            <w:r w:rsidR="0044160F" w:rsidRPr="00CF5B13">
              <w:rPr>
                <w:rFonts w:ascii="Times New Roman" w:hAnsi="Times New Roman" w:cs="Times New Roman"/>
                <w:sz w:val="24"/>
                <w:szCs w:val="24"/>
                <w:lang w:val="cs-CZ"/>
              </w:rPr>
              <w:t xml:space="preserve"> na téma podpory lidských práv a transformační spolupráce v zahraniční politice, kter</w:t>
            </w:r>
            <w:r w:rsidR="005E6869" w:rsidRPr="00CF5B13">
              <w:rPr>
                <w:rFonts w:ascii="Times New Roman" w:hAnsi="Times New Roman" w:cs="Times New Roman"/>
                <w:sz w:val="24"/>
                <w:szCs w:val="24"/>
                <w:lang w:val="cs-CZ"/>
              </w:rPr>
              <w:t>ý</w:t>
            </w:r>
            <w:r w:rsidR="0044160F" w:rsidRPr="00CF5B13">
              <w:rPr>
                <w:rFonts w:ascii="Times New Roman" w:hAnsi="Times New Roman" w:cs="Times New Roman"/>
                <w:sz w:val="24"/>
                <w:szCs w:val="24"/>
                <w:lang w:val="cs-CZ"/>
              </w:rPr>
              <w:t xml:space="preserve"> zahrnuje i genderové aspekty a Agendu WPS</w:t>
            </w:r>
            <w:r w:rsidR="00AD4775" w:rsidRPr="00CF5B13">
              <w:rPr>
                <w:rFonts w:ascii="Times New Roman" w:hAnsi="Times New Roman" w:cs="Times New Roman"/>
                <w:sz w:val="24"/>
                <w:szCs w:val="24"/>
                <w:lang w:val="cs-CZ"/>
              </w:rPr>
              <w:t>)</w:t>
            </w:r>
            <w:r w:rsidR="0044160F" w:rsidRPr="00CF5B13">
              <w:rPr>
                <w:rFonts w:ascii="Times New Roman" w:hAnsi="Times New Roman" w:cs="Times New Roman"/>
                <w:sz w:val="24"/>
                <w:szCs w:val="24"/>
                <w:lang w:val="cs-CZ"/>
              </w:rPr>
              <w:t>.</w:t>
            </w:r>
            <w:r w:rsidR="005E6869" w:rsidRPr="00CF5B13">
              <w:rPr>
                <w:rFonts w:ascii="Times New Roman" w:hAnsi="Times New Roman" w:cs="Times New Roman"/>
                <w:sz w:val="24"/>
                <w:szCs w:val="24"/>
                <w:lang w:val="cs-CZ"/>
              </w:rPr>
              <w:t xml:space="preserve"> </w:t>
            </w:r>
          </w:p>
          <w:p w:rsidR="00285DD3" w:rsidRPr="00CF5B13" w:rsidRDefault="00285DD3" w:rsidP="00151C26">
            <w:pPr>
              <w:spacing w:before="120"/>
              <w:jc w:val="both"/>
              <w:rPr>
                <w:rFonts w:ascii="Times New Roman" w:hAnsi="Times New Roman" w:cs="Times New Roman"/>
                <w:sz w:val="24"/>
                <w:szCs w:val="24"/>
                <w:lang w:val="cs-CZ"/>
              </w:rPr>
            </w:pPr>
            <w:r w:rsidRPr="00CF5B13">
              <w:rPr>
                <w:rFonts w:ascii="Times New Roman" w:hAnsi="Times New Roman" w:cs="Times New Roman"/>
                <w:sz w:val="24"/>
                <w:szCs w:val="24"/>
                <w:lang w:val="cs-CZ"/>
              </w:rPr>
              <w:t xml:space="preserve">ÚV ČR dále zorganizoval seminář </w:t>
            </w:r>
            <w:r w:rsidRPr="00CF5B13">
              <w:rPr>
                <w:rFonts w:ascii="Times New Roman" w:hAnsi="Times New Roman" w:cs="Times New Roman"/>
                <w:i/>
                <w:iCs/>
                <w:sz w:val="24"/>
                <w:szCs w:val="24"/>
                <w:lang w:val="cs-CZ"/>
              </w:rPr>
              <w:t>Uplatňování hlediska rovnosti žen a mužů v rámci CZ PRES</w:t>
            </w:r>
            <w:r w:rsidRPr="00CF5B13">
              <w:rPr>
                <w:rFonts w:ascii="Times New Roman" w:hAnsi="Times New Roman" w:cs="Times New Roman"/>
                <w:sz w:val="24"/>
                <w:szCs w:val="24"/>
                <w:lang w:val="cs-CZ"/>
              </w:rPr>
              <w:t xml:space="preserve"> (20. 4. 2022), který byl otevřen všem zaměstnancům a zaměstnankyním ústředních orgánů státní správy. S ohledem na fakt, že genderová rovnost je tématem, které se prolíná do řady agend a do činnosti řady formací Rady EU, bylo účelem semináře informovat zástupce a zástupkyně ministerstev o prioritách ČR v oblasti genderové rovnosti během CZ PRES a o možnostech začlenění genderového hlediska do plánovaných akcí a projednávaných agend. Diskutováno bylo také používání terminologie s cílem sjednotit přístup ČR během CZ PRES k návrhům a postojům členských států.</w:t>
            </w:r>
          </w:p>
          <w:p w:rsidR="0044160F" w:rsidRPr="00CF5B13" w:rsidRDefault="0044160F" w:rsidP="0044160F">
            <w:pPr>
              <w:jc w:val="both"/>
              <w:rPr>
                <w:rFonts w:ascii="Times New Roman" w:hAnsi="Times New Roman" w:cs="Times New Roman"/>
                <w:sz w:val="24"/>
                <w:szCs w:val="24"/>
                <w:lang w:val="cs-CZ"/>
              </w:rPr>
            </w:pPr>
          </w:p>
        </w:tc>
      </w:tr>
      <w:tr w:rsidR="0044160F" w:rsidRPr="00CF5B13" w:rsidTr="00D0567C">
        <w:tc>
          <w:tcPr>
            <w:tcW w:w="6799" w:type="dxa"/>
          </w:tcPr>
          <w:p w:rsidR="0044160F" w:rsidRPr="00CF5B13" w:rsidRDefault="0044160F" w:rsidP="0044160F">
            <w:pPr>
              <w:jc w:val="both"/>
              <w:rPr>
                <w:rFonts w:ascii="Times New Roman" w:eastAsia="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t xml:space="preserve">2.5 Zajistit účast všech gender/WPS focal pointů na MZV, MO, MV a ÚV na odborném školení genderové problematiky. </w:t>
            </w:r>
          </w:p>
          <w:p w:rsidR="0044160F" w:rsidRPr="00CF5B13" w:rsidRDefault="0044160F" w:rsidP="0044160F">
            <w:pPr>
              <w:jc w:val="both"/>
              <w:rPr>
                <w:rFonts w:ascii="Times New Roman" w:eastAsia="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t>(MZV, MV, MO, ÚV)</w:t>
            </w:r>
          </w:p>
        </w:tc>
        <w:tc>
          <w:tcPr>
            <w:tcW w:w="3402" w:type="dxa"/>
          </w:tcPr>
          <w:p w:rsidR="0044160F" w:rsidRPr="00CF5B13" w:rsidRDefault="0044160F" w:rsidP="0044160F">
            <w:pPr>
              <w:rPr>
                <w:rFonts w:ascii="Times New Roman" w:eastAsia="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t>Plněno průběžně</w:t>
            </w:r>
          </w:p>
          <w:p w:rsidR="0044160F" w:rsidRPr="00CF5B13" w:rsidRDefault="0044160F" w:rsidP="0044160F">
            <w:pPr>
              <w:rPr>
                <w:rFonts w:ascii="Times New Roman" w:hAnsi="Times New Roman" w:cs="Times New Roman"/>
                <w:sz w:val="24"/>
                <w:szCs w:val="24"/>
                <w:lang w:val="cs-CZ"/>
              </w:rPr>
            </w:pPr>
          </w:p>
        </w:tc>
      </w:tr>
      <w:tr w:rsidR="0044160F" w:rsidRPr="00412C4E" w:rsidTr="00405F3F">
        <w:tc>
          <w:tcPr>
            <w:tcW w:w="10201" w:type="dxa"/>
            <w:gridSpan w:val="2"/>
          </w:tcPr>
          <w:p w:rsidR="0044160F" w:rsidRPr="00CF5B13" w:rsidRDefault="0044160F" w:rsidP="004B2DA6">
            <w:pPr>
              <w:pStyle w:val="Odstavecseseznamem"/>
              <w:numPr>
                <w:ilvl w:val="0"/>
                <w:numId w:val="26"/>
              </w:numPr>
              <w:spacing w:before="120"/>
              <w:jc w:val="both"/>
              <w:rPr>
                <w:rFonts w:ascii="Times New Roman" w:hAnsi="Times New Roman" w:cs="Times New Roman"/>
                <w:b/>
                <w:sz w:val="24"/>
                <w:szCs w:val="24"/>
                <w:u w:val="single"/>
                <w:lang w:val="cs-CZ"/>
              </w:rPr>
            </w:pPr>
            <w:r w:rsidRPr="00CF5B13">
              <w:rPr>
                <w:rFonts w:ascii="Times New Roman" w:hAnsi="Times New Roman" w:cs="Times New Roman"/>
                <w:b/>
                <w:sz w:val="24"/>
                <w:szCs w:val="24"/>
                <w:u w:val="single"/>
                <w:lang w:val="cs-CZ"/>
              </w:rPr>
              <w:t>Ministerstvo zahraničních věcí</w:t>
            </w:r>
          </w:p>
          <w:p w:rsidR="0044160F" w:rsidRPr="00CF5B13" w:rsidRDefault="0044160F" w:rsidP="00327664">
            <w:pPr>
              <w:spacing w:before="120"/>
              <w:jc w:val="both"/>
              <w:rPr>
                <w:rFonts w:ascii="Times New Roman" w:hAnsi="Times New Roman" w:cs="Times New Roman"/>
                <w:sz w:val="24"/>
                <w:szCs w:val="24"/>
                <w:lang w:val="cs-CZ"/>
              </w:rPr>
            </w:pPr>
            <w:r w:rsidRPr="00CF5B13">
              <w:rPr>
                <w:rFonts w:ascii="Times New Roman" w:hAnsi="Times New Roman" w:cs="Times New Roman"/>
                <w:sz w:val="24"/>
                <w:szCs w:val="24"/>
                <w:lang w:val="cs-CZ"/>
              </w:rPr>
              <w:t>Viz plnění opatření 2.4</w:t>
            </w:r>
            <w:r w:rsidR="00266BB8" w:rsidRPr="00CF5B13">
              <w:rPr>
                <w:rFonts w:ascii="Times New Roman" w:hAnsi="Times New Roman" w:cs="Times New Roman"/>
                <w:sz w:val="24"/>
                <w:szCs w:val="24"/>
                <w:lang w:val="cs-CZ"/>
              </w:rPr>
              <w:t xml:space="preserve">., za účasti </w:t>
            </w:r>
            <w:r w:rsidR="00C33C3F" w:rsidRPr="00CF5B13">
              <w:rPr>
                <w:rFonts w:ascii="Times New Roman" w:hAnsi="Times New Roman" w:cs="Times New Roman"/>
                <w:sz w:val="24"/>
                <w:szCs w:val="24"/>
                <w:lang w:val="cs-CZ"/>
              </w:rPr>
              <w:t>zástupce MZV (</w:t>
            </w:r>
            <w:r w:rsidR="00266BB8" w:rsidRPr="00CF5B13">
              <w:rPr>
                <w:rFonts w:ascii="Times New Roman" w:hAnsi="Times New Roman" w:cs="Times New Roman"/>
                <w:sz w:val="24"/>
                <w:szCs w:val="24"/>
                <w:lang w:val="cs-CZ"/>
              </w:rPr>
              <w:t>WPS focal point</w:t>
            </w:r>
            <w:r w:rsidR="00C33C3F" w:rsidRPr="00CF5B13">
              <w:rPr>
                <w:rFonts w:ascii="Times New Roman" w:hAnsi="Times New Roman" w:cs="Times New Roman"/>
                <w:sz w:val="24"/>
                <w:szCs w:val="24"/>
                <w:lang w:val="cs-CZ"/>
              </w:rPr>
              <w:t>)</w:t>
            </w:r>
            <w:r w:rsidR="00266BB8" w:rsidRPr="00CF5B13">
              <w:rPr>
                <w:rFonts w:ascii="Times New Roman" w:hAnsi="Times New Roman" w:cs="Times New Roman"/>
                <w:sz w:val="24"/>
                <w:szCs w:val="24"/>
                <w:lang w:val="cs-CZ"/>
              </w:rPr>
              <w:t xml:space="preserve"> na uvedených školeních.</w:t>
            </w:r>
          </w:p>
          <w:p w:rsidR="0044160F" w:rsidRPr="00CF5B13" w:rsidRDefault="0044160F" w:rsidP="0044160F">
            <w:pPr>
              <w:pStyle w:val="Odstavecseseznamem"/>
              <w:ind w:left="1080"/>
              <w:jc w:val="both"/>
              <w:rPr>
                <w:rFonts w:ascii="Times New Roman" w:hAnsi="Times New Roman" w:cs="Times New Roman"/>
                <w:sz w:val="24"/>
                <w:szCs w:val="24"/>
                <w:lang w:val="cs-CZ"/>
              </w:rPr>
            </w:pPr>
          </w:p>
          <w:p w:rsidR="0044160F" w:rsidRPr="00CF5B13" w:rsidRDefault="0044160F" w:rsidP="004B2DA6">
            <w:pPr>
              <w:pStyle w:val="Odstavecseseznamem"/>
              <w:numPr>
                <w:ilvl w:val="0"/>
                <w:numId w:val="26"/>
              </w:numPr>
              <w:jc w:val="both"/>
              <w:rPr>
                <w:rFonts w:ascii="Times New Roman" w:hAnsi="Times New Roman" w:cs="Times New Roman"/>
                <w:b/>
                <w:sz w:val="24"/>
                <w:szCs w:val="24"/>
                <w:u w:val="single"/>
                <w:lang w:val="cs-CZ"/>
              </w:rPr>
            </w:pPr>
            <w:r w:rsidRPr="00CF5B13">
              <w:rPr>
                <w:rFonts w:ascii="Times New Roman" w:hAnsi="Times New Roman" w:cs="Times New Roman"/>
                <w:b/>
                <w:sz w:val="24"/>
                <w:szCs w:val="24"/>
                <w:u w:val="single"/>
                <w:lang w:val="cs-CZ"/>
              </w:rPr>
              <w:t>Ministerstvo vnitra</w:t>
            </w:r>
          </w:p>
          <w:p w:rsidR="00C545A6" w:rsidRPr="00CF5B13" w:rsidRDefault="00C545A6" w:rsidP="00327664">
            <w:pPr>
              <w:spacing w:before="120"/>
              <w:jc w:val="both"/>
              <w:rPr>
                <w:rFonts w:ascii="Times New Roman" w:hAnsi="Times New Roman" w:cs="Times New Roman"/>
                <w:sz w:val="24"/>
                <w:szCs w:val="24"/>
                <w:lang w:val="cs-CZ"/>
              </w:rPr>
            </w:pPr>
            <w:r w:rsidRPr="00CF5B13">
              <w:rPr>
                <w:rFonts w:ascii="Times New Roman" w:hAnsi="Times New Roman" w:cs="Times New Roman"/>
                <w:sz w:val="24"/>
                <w:szCs w:val="24"/>
                <w:lang w:val="cs-CZ"/>
              </w:rPr>
              <w:t>Základní vzdělávání týkající se rovnosti žen a mužů je zaměstnancům Ministerstva vnitra poskytováno již v rámci vstupního vzdělávání (pro nové zaměstnance úřadu), v kapitole nazvané Informace a ochraně lidských práv ve služebním úřadu Ministerstvo vnitra, rovném postavení a zákazu diskriminace.</w:t>
            </w:r>
          </w:p>
          <w:p w:rsidR="0044160F" w:rsidRPr="00CF5B13" w:rsidRDefault="0044160F" w:rsidP="0044160F">
            <w:pPr>
              <w:jc w:val="both"/>
              <w:rPr>
                <w:rFonts w:ascii="Times New Roman" w:hAnsi="Times New Roman" w:cs="Times New Roman"/>
                <w:sz w:val="24"/>
                <w:szCs w:val="24"/>
                <w:lang w:val="cs-CZ"/>
              </w:rPr>
            </w:pPr>
          </w:p>
          <w:p w:rsidR="0044160F" w:rsidRPr="00CF5B13" w:rsidRDefault="0044160F" w:rsidP="004B2DA6">
            <w:pPr>
              <w:pStyle w:val="Odstavecseseznamem"/>
              <w:numPr>
                <w:ilvl w:val="0"/>
                <w:numId w:val="26"/>
              </w:numPr>
              <w:jc w:val="both"/>
              <w:rPr>
                <w:rFonts w:ascii="Times New Roman" w:hAnsi="Times New Roman" w:cs="Times New Roman"/>
                <w:b/>
                <w:sz w:val="24"/>
                <w:szCs w:val="24"/>
                <w:u w:val="single"/>
                <w:lang w:val="cs-CZ"/>
              </w:rPr>
            </w:pPr>
            <w:r w:rsidRPr="00CF5B13">
              <w:rPr>
                <w:rFonts w:ascii="Times New Roman" w:hAnsi="Times New Roman" w:cs="Times New Roman"/>
                <w:b/>
                <w:sz w:val="24"/>
                <w:szCs w:val="24"/>
                <w:u w:val="single"/>
                <w:lang w:val="cs-CZ"/>
              </w:rPr>
              <w:t>Ministerstvo obrany</w:t>
            </w:r>
          </w:p>
          <w:p w:rsidR="0044160F" w:rsidRPr="00CF5B13" w:rsidRDefault="0044160F" w:rsidP="0044160F">
            <w:pPr>
              <w:spacing w:before="120"/>
              <w:jc w:val="both"/>
              <w:rPr>
                <w:rFonts w:ascii="Times New Roman" w:hAnsi="Times New Roman" w:cs="Times New Roman"/>
                <w:color w:val="000000"/>
                <w:sz w:val="24"/>
                <w:szCs w:val="24"/>
                <w:lang w:val="cs-CZ"/>
              </w:rPr>
            </w:pPr>
            <w:r w:rsidRPr="00CF5B13">
              <w:rPr>
                <w:rFonts w:ascii="Times New Roman" w:hAnsi="Times New Roman" w:cs="Times New Roman"/>
                <w:color w:val="000000"/>
                <w:sz w:val="24"/>
                <w:szCs w:val="24"/>
                <w:lang w:val="cs-CZ"/>
              </w:rPr>
              <w:t xml:space="preserve">V rámci průběžného vzdělávání personálu MO probíhaly, v souladu s vnitřním předpisem k prosazování rovnosti žen a mužů, pravidelné vzdělávací aktivity určené všem zaměstnancům a zaměstnankyním,  včetně “WPS focal pointů”.  </w:t>
            </w:r>
          </w:p>
          <w:p w:rsidR="0044160F" w:rsidRPr="00CF5B13" w:rsidRDefault="0044160F" w:rsidP="0044160F">
            <w:pPr>
              <w:jc w:val="both"/>
              <w:rPr>
                <w:rFonts w:ascii="Times New Roman" w:eastAsia="Times New Roman" w:hAnsi="Times New Roman" w:cs="Times New Roman"/>
                <w:sz w:val="24"/>
                <w:szCs w:val="24"/>
                <w:lang w:val="cs-CZ"/>
              </w:rPr>
            </w:pPr>
            <w:r w:rsidRPr="00CF5B13">
              <w:rPr>
                <w:rFonts w:ascii="Times New Roman" w:eastAsia="Times New Roman" w:hAnsi="Times New Roman" w:cs="Times New Roman"/>
                <w:sz w:val="24"/>
                <w:szCs w:val="24"/>
                <w:lang w:val="cs-CZ"/>
              </w:rPr>
              <w:t xml:space="preserve">V dalším realizačním období plnění Agendy WPS předpokládáme využití  e-learningu na téma WPS, který připravuje MZV a který bude určený odborníkům/odbornicím pro tuto agendu, příp. dalším zájemcům. </w:t>
            </w:r>
          </w:p>
          <w:p w:rsidR="0044160F" w:rsidRPr="00CF5B13" w:rsidRDefault="0044160F" w:rsidP="0044160F">
            <w:pPr>
              <w:jc w:val="both"/>
              <w:rPr>
                <w:rFonts w:ascii="Times New Roman" w:hAnsi="Times New Roman" w:cs="Times New Roman"/>
                <w:sz w:val="24"/>
                <w:szCs w:val="24"/>
                <w:lang w:val="cs-CZ"/>
              </w:rPr>
            </w:pPr>
          </w:p>
        </w:tc>
      </w:tr>
      <w:tr w:rsidR="0044160F" w:rsidRPr="00CF5B13" w:rsidTr="00D0567C">
        <w:tc>
          <w:tcPr>
            <w:tcW w:w="6799" w:type="dxa"/>
          </w:tcPr>
          <w:p w:rsidR="0044160F" w:rsidRPr="00CF5B13" w:rsidRDefault="0044160F" w:rsidP="0044160F">
            <w:pPr>
              <w:jc w:val="both"/>
              <w:rPr>
                <w:rFonts w:ascii="Times New Roman" w:eastAsia="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lastRenderedPageBreak/>
              <w:t>2.6 Zajistit aktivní účast odborných zástupců/-kyň ÚV, MZV, MO, MV, policistů/-ek, vojáků/-kyň na mezinárodních vzdělávacích akcích a konferencích k problematice WPS. (MZV, MV, MO, ÚV)</w:t>
            </w:r>
          </w:p>
        </w:tc>
        <w:tc>
          <w:tcPr>
            <w:tcW w:w="3402" w:type="dxa"/>
          </w:tcPr>
          <w:p w:rsidR="0044160F" w:rsidRPr="00CF5B13" w:rsidRDefault="0044160F" w:rsidP="0044160F">
            <w:pPr>
              <w:rPr>
                <w:rFonts w:ascii="Times New Roman" w:eastAsia="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t>Plněno průběžně</w:t>
            </w:r>
          </w:p>
          <w:p w:rsidR="0044160F" w:rsidRPr="00CF5B13" w:rsidRDefault="0044160F" w:rsidP="0044160F">
            <w:pPr>
              <w:jc w:val="both"/>
              <w:rPr>
                <w:rFonts w:ascii="Times New Roman" w:hAnsi="Times New Roman" w:cs="Times New Roman"/>
                <w:sz w:val="24"/>
                <w:szCs w:val="24"/>
                <w:lang w:val="cs-CZ"/>
              </w:rPr>
            </w:pPr>
          </w:p>
        </w:tc>
      </w:tr>
      <w:tr w:rsidR="0044160F" w:rsidRPr="00412C4E" w:rsidTr="006E149C">
        <w:tc>
          <w:tcPr>
            <w:tcW w:w="10201" w:type="dxa"/>
            <w:gridSpan w:val="2"/>
          </w:tcPr>
          <w:p w:rsidR="0044160F" w:rsidRPr="00CF5B13" w:rsidRDefault="0044160F" w:rsidP="00345AF6">
            <w:pPr>
              <w:pStyle w:val="Odstavecseseznamem"/>
              <w:numPr>
                <w:ilvl w:val="0"/>
                <w:numId w:val="14"/>
              </w:numPr>
              <w:spacing w:before="120"/>
              <w:jc w:val="both"/>
              <w:rPr>
                <w:rFonts w:ascii="Times New Roman" w:hAnsi="Times New Roman" w:cs="Times New Roman"/>
                <w:b/>
                <w:sz w:val="24"/>
                <w:szCs w:val="24"/>
                <w:u w:val="single"/>
                <w:lang w:val="cs-CZ"/>
              </w:rPr>
            </w:pPr>
            <w:r w:rsidRPr="00CF5B13">
              <w:rPr>
                <w:rFonts w:ascii="Times New Roman" w:hAnsi="Times New Roman" w:cs="Times New Roman"/>
                <w:b/>
                <w:sz w:val="24"/>
                <w:szCs w:val="24"/>
                <w:u w:val="single"/>
                <w:lang w:val="cs-CZ"/>
              </w:rPr>
              <w:t>Ministerstvo zahraničních věcí</w:t>
            </w:r>
          </w:p>
          <w:p w:rsidR="0044160F" w:rsidRPr="00CF5B13" w:rsidRDefault="0044160F" w:rsidP="00345AF6">
            <w:pPr>
              <w:spacing w:before="120"/>
              <w:jc w:val="both"/>
              <w:rPr>
                <w:rFonts w:ascii="Times New Roman" w:hAnsi="Times New Roman" w:cs="Times New Roman"/>
                <w:sz w:val="24"/>
                <w:szCs w:val="24"/>
                <w:lang w:val="cs-CZ"/>
              </w:rPr>
            </w:pPr>
            <w:r w:rsidRPr="00CF5B13">
              <w:rPr>
                <w:rFonts w:ascii="Times New Roman" w:hAnsi="Times New Roman" w:cs="Times New Roman"/>
                <w:sz w:val="24"/>
                <w:szCs w:val="24"/>
                <w:lang w:val="cs-CZ"/>
              </w:rPr>
              <w:t xml:space="preserve">Zástupkyně MZV </w:t>
            </w:r>
            <w:r w:rsidR="00345AF6" w:rsidRPr="00CF5B13">
              <w:rPr>
                <w:rFonts w:ascii="Times New Roman" w:hAnsi="Times New Roman" w:cs="Times New Roman"/>
                <w:sz w:val="24"/>
                <w:szCs w:val="24"/>
                <w:lang w:val="cs-CZ"/>
              </w:rPr>
              <w:t xml:space="preserve">se zúčastnila čtvrtého zasedání sítě WPS Focal Points Network na úrovni </w:t>
            </w:r>
            <w:r w:rsidR="00345AF6" w:rsidRPr="00CF5B13">
              <w:rPr>
                <w:rFonts w:ascii="Times New Roman" w:hAnsi="Times New Roman" w:cs="Times New Roman"/>
                <w:i/>
                <w:sz w:val="24"/>
                <w:szCs w:val="24"/>
                <w:lang w:val="cs-CZ"/>
              </w:rPr>
              <w:t>capitals</w:t>
            </w:r>
            <w:r w:rsidR="00345AF6" w:rsidRPr="00CF5B13">
              <w:rPr>
                <w:rFonts w:ascii="Times New Roman" w:hAnsi="Times New Roman" w:cs="Times New Roman"/>
                <w:sz w:val="24"/>
                <w:szCs w:val="24"/>
                <w:lang w:val="cs-CZ"/>
              </w:rPr>
              <w:t>, které se konalo ve dnech 18. a 19. května 2022 v Ženevě a věnovalo se tématu "Partnerství pro změnu - proměňování agendy pro</w:t>
            </w:r>
            <w:r w:rsidR="00DE1EA3" w:rsidRPr="00CF5B13">
              <w:rPr>
                <w:rFonts w:ascii="Times New Roman" w:hAnsi="Times New Roman" w:cs="Times New Roman"/>
                <w:sz w:val="24"/>
                <w:szCs w:val="24"/>
                <w:lang w:val="cs-CZ"/>
              </w:rPr>
              <w:t xml:space="preserve"> ženy, mír a bezpečnost v činy" a zejména participaci</w:t>
            </w:r>
            <w:r w:rsidR="00345AF6" w:rsidRPr="00CF5B13">
              <w:rPr>
                <w:rFonts w:ascii="Times New Roman" w:hAnsi="Times New Roman" w:cs="Times New Roman"/>
                <w:sz w:val="24"/>
                <w:szCs w:val="24"/>
                <w:lang w:val="cs-CZ"/>
              </w:rPr>
              <w:t xml:space="preserve"> žen v mírových procesech a ochran</w:t>
            </w:r>
            <w:r w:rsidR="00DE1EA3" w:rsidRPr="00CF5B13">
              <w:rPr>
                <w:rFonts w:ascii="Times New Roman" w:hAnsi="Times New Roman" w:cs="Times New Roman"/>
                <w:sz w:val="24"/>
                <w:szCs w:val="24"/>
                <w:lang w:val="cs-CZ"/>
              </w:rPr>
              <w:t>ě</w:t>
            </w:r>
            <w:r w:rsidR="00345AF6" w:rsidRPr="00CF5B13">
              <w:rPr>
                <w:rFonts w:ascii="Times New Roman" w:hAnsi="Times New Roman" w:cs="Times New Roman"/>
                <w:sz w:val="24"/>
                <w:szCs w:val="24"/>
                <w:lang w:val="cs-CZ"/>
              </w:rPr>
              <w:t xml:space="preserve"> práv žen.</w:t>
            </w:r>
            <w:r w:rsidR="00040832" w:rsidRPr="00CF5B13">
              <w:rPr>
                <w:rFonts w:ascii="Times New Roman" w:hAnsi="Times New Roman" w:cs="Times New Roman"/>
                <w:sz w:val="24"/>
                <w:szCs w:val="24"/>
                <w:lang w:val="cs-CZ"/>
              </w:rPr>
              <w:t xml:space="preserve"> Dále se účastnila virtuálních schůzek sítě WPS Focal Points Network</w:t>
            </w:r>
            <w:r w:rsidR="00BC774E" w:rsidRPr="00CF5B13">
              <w:rPr>
                <w:rFonts w:ascii="Times New Roman" w:hAnsi="Times New Roman" w:cs="Times New Roman"/>
                <w:sz w:val="24"/>
                <w:szCs w:val="24"/>
                <w:lang w:val="cs-CZ"/>
              </w:rPr>
              <w:t xml:space="preserve"> a zasedání Komise OSN pro postavení žen v březnu 2022 v New Yorku. </w:t>
            </w:r>
          </w:p>
          <w:p w:rsidR="0044160F" w:rsidRPr="00CF5B13" w:rsidRDefault="0044160F" w:rsidP="0044160F">
            <w:pPr>
              <w:jc w:val="both"/>
              <w:rPr>
                <w:rFonts w:ascii="Times New Roman" w:hAnsi="Times New Roman" w:cs="Times New Roman"/>
                <w:sz w:val="24"/>
                <w:szCs w:val="24"/>
                <w:lang w:val="cs-CZ"/>
              </w:rPr>
            </w:pPr>
          </w:p>
          <w:p w:rsidR="0044160F" w:rsidRPr="00CF5B13" w:rsidRDefault="0044160F" w:rsidP="0044160F">
            <w:pPr>
              <w:pStyle w:val="Odstavecseseznamem"/>
              <w:numPr>
                <w:ilvl w:val="0"/>
                <w:numId w:val="14"/>
              </w:numPr>
              <w:jc w:val="both"/>
              <w:rPr>
                <w:rFonts w:ascii="Times New Roman" w:hAnsi="Times New Roman" w:cs="Times New Roman"/>
                <w:b/>
                <w:sz w:val="24"/>
                <w:szCs w:val="24"/>
                <w:u w:val="single"/>
                <w:lang w:val="cs-CZ"/>
              </w:rPr>
            </w:pPr>
            <w:r w:rsidRPr="00CF5B13">
              <w:rPr>
                <w:rFonts w:ascii="Times New Roman" w:hAnsi="Times New Roman" w:cs="Times New Roman"/>
                <w:b/>
                <w:sz w:val="24"/>
                <w:szCs w:val="24"/>
                <w:u w:val="single"/>
                <w:lang w:val="cs-CZ"/>
              </w:rPr>
              <w:t>Ministerstvo vnitra</w:t>
            </w:r>
          </w:p>
          <w:p w:rsidR="00C545A6" w:rsidRPr="00CF5B13" w:rsidRDefault="00C545A6" w:rsidP="00345AF6">
            <w:pPr>
              <w:spacing w:before="120"/>
              <w:jc w:val="both"/>
              <w:rPr>
                <w:rFonts w:ascii="Times New Roman" w:hAnsi="Times New Roman" w:cs="Times New Roman"/>
                <w:sz w:val="24"/>
                <w:szCs w:val="24"/>
                <w:lang w:val="cs-CZ"/>
              </w:rPr>
            </w:pPr>
            <w:r w:rsidRPr="00CF5B13">
              <w:rPr>
                <w:rFonts w:ascii="Times New Roman" w:hAnsi="Times New Roman" w:cs="Times New Roman"/>
                <w:sz w:val="24"/>
                <w:szCs w:val="24"/>
                <w:lang w:val="cs-CZ"/>
              </w:rPr>
              <w:t xml:space="preserve">Vzdělávací kurikulum agentury EUAA je podpůrný nástroj, který členským státům umožňuje zvýšit kapacitu a kvalitu vnitrostátních azylových služeb a přispívá k implementaci společného evropského azylového systému. Portfolio vzdělávacích kurzů obsahuje řadu vzdělávacích modulů zaměřujících se na široké spektrum problematik souvisejících s institutem mezinárodní ochrany a péčí o žadatele. V rámci těchto kurzů nacházejí široké uplatnění témata genderu, sexuálně motivovaného násilí, obchodování s lidmi, </w:t>
            </w:r>
            <w:r w:rsidR="00047ED7" w:rsidRPr="00CF5B13">
              <w:rPr>
                <w:rFonts w:ascii="Times New Roman" w:hAnsi="Times New Roman" w:cs="Times New Roman"/>
                <w:sz w:val="24"/>
                <w:szCs w:val="24"/>
                <w:lang w:val="cs-CZ"/>
              </w:rPr>
              <w:t xml:space="preserve">základních </w:t>
            </w:r>
            <w:r w:rsidRPr="00CF5B13">
              <w:rPr>
                <w:rFonts w:ascii="Times New Roman" w:hAnsi="Times New Roman" w:cs="Times New Roman"/>
                <w:sz w:val="24"/>
                <w:szCs w:val="24"/>
                <w:lang w:val="cs-CZ"/>
              </w:rPr>
              <w:t>práv atd., která jsou do kurikula kurzů organicky včleněna, a též tvoří osnovu kurzů speciálně na tato témata zaměřených. V oblasti vzdělávacích akcí a školení realizovaných ve spolupráci s agenturou EUAA v roce 2022, se MV ČR úspěšně dařilo zabezpečit podporu účasti žen na těchto školeních. Konkrétně bylo v roce 2022 v rámci realizovaných školících akcí úspěšně proškoleno celkem 25 pracovníků MV ČR; z nich bylo 19 žen a 6 mužů.</w:t>
            </w:r>
          </w:p>
          <w:p w:rsidR="00C545A6" w:rsidRPr="00CF5B13" w:rsidRDefault="00C545A6" w:rsidP="00C545A6">
            <w:pPr>
              <w:jc w:val="both"/>
              <w:rPr>
                <w:rFonts w:ascii="Times New Roman" w:hAnsi="Times New Roman" w:cs="Times New Roman"/>
                <w:sz w:val="24"/>
                <w:szCs w:val="24"/>
                <w:lang w:val="cs-CZ"/>
              </w:rPr>
            </w:pPr>
            <w:r w:rsidRPr="00CF5B13">
              <w:rPr>
                <w:rFonts w:ascii="Times New Roman" w:hAnsi="Times New Roman" w:cs="Times New Roman"/>
                <w:sz w:val="24"/>
                <w:szCs w:val="24"/>
                <w:lang w:val="cs-CZ"/>
              </w:rPr>
              <w:t>Bohužel již v samém počátku roku 2022 došlo v rámci celého resortu MV k dalšímu zásadnímu ovlivnění školících plánů kvůli ozbrojenému konfliktu na území Ukrajiny a rozsáhlé vlně uprchlíků, kteří na území ČR hledali bezpečné útočiště. Výjimkou nebyly ani plánované školící aktivity v rámci Odboru azylové a migrační politiky (dále jen „OAMP“). Dlouhodobá potřeba mobilizace kapacit OAMP a celého resortu za účelem úspěšného zvládnutí výzev, které s sebou přinesla vlna žadatelů o dočasnou ochranu na území ČR, nedovolila realizovat všechny původně plánované školící aktivity. I přes nepříznivé podmínky se však v průběhu roku 2022, v rámci mezinárodního projektu „Reinforcement of EASO’s Asylum Support Teams - training of Member States’ officials/Asylum Teams Support“, podařilo vyškolit 17 nových národních expertů EUAA (15 žen a 2 muže). Tímto způsobem bylo v roce 2022 dosaženo významného posílení role žen v rámci personálního portfolia pro nominace k vyslání k plnění pracovních úkolů do zahraničí.</w:t>
            </w:r>
          </w:p>
          <w:p w:rsidR="0044160F" w:rsidRPr="00CF5B13" w:rsidRDefault="0044160F" w:rsidP="0044160F">
            <w:pPr>
              <w:jc w:val="both"/>
              <w:rPr>
                <w:rFonts w:ascii="Times New Roman" w:hAnsi="Times New Roman" w:cs="Times New Roman"/>
                <w:sz w:val="24"/>
                <w:szCs w:val="24"/>
                <w:lang w:val="cs-CZ"/>
              </w:rPr>
            </w:pPr>
          </w:p>
          <w:p w:rsidR="0044160F" w:rsidRPr="00CF5B13" w:rsidRDefault="0044160F" w:rsidP="0044160F">
            <w:pPr>
              <w:pStyle w:val="Odstavecseseznamem"/>
              <w:numPr>
                <w:ilvl w:val="0"/>
                <w:numId w:val="14"/>
              </w:numPr>
              <w:jc w:val="both"/>
              <w:rPr>
                <w:rFonts w:ascii="Times New Roman" w:hAnsi="Times New Roman" w:cs="Times New Roman"/>
                <w:b/>
                <w:sz w:val="24"/>
                <w:szCs w:val="24"/>
                <w:u w:val="single"/>
                <w:lang w:val="cs-CZ"/>
              </w:rPr>
            </w:pPr>
            <w:r w:rsidRPr="00CF5B13">
              <w:rPr>
                <w:rFonts w:ascii="Times New Roman" w:hAnsi="Times New Roman" w:cs="Times New Roman"/>
                <w:b/>
                <w:sz w:val="24"/>
                <w:szCs w:val="24"/>
                <w:u w:val="single"/>
                <w:lang w:val="cs-CZ"/>
              </w:rPr>
              <w:t>Ministerstvo obrany</w:t>
            </w:r>
          </w:p>
          <w:p w:rsidR="0044160F" w:rsidRPr="00CF5B13" w:rsidRDefault="0044160F" w:rsidP="0044160F">
            <w:pPr>
              <w:spacing w:before="120"/>
              <w:jc w:val="both"/>
              <w:rPr>
                <w:rFonts w:ascii="Times New Roman" w:hAnsi="Times New Roman" w:cs="Times New Roman"/>
                <w:sz w:val="24"/>
                <w:szCs w:val="24"/>
                <w:lang w:val="cs-CZ"/>
              </w:rPr>
            </w:pPr>
            <w:r w:rsidRPr="00CF5B13">
              <w:rPr>
                <w:rFonts w:ascii="Times New Roman" w:hAnsi="Times New Roman" w:cs="Times New Roman"/>
                <w:sz w:val="24"/>
                <w:szCs w:val="24"/>
                <w:lang w:val="cs-CZ"/>
              </w:rPr>
              <w:t xml:space="preserve">V hodnoceném období absolvovaly </w:t>
            </w:r>
            <w:r w:rsidRPr="00C92440">
              <w:rPr>
                <w:rFonts w:ascii="Times New Roman" w:hAnsi="Times New Roman" w:cs="Times New Roman"/>
                <w:sz w:val="24"/>
                <w:szCs w:val="24"/>
                <w:lang w:val="cs-CZ"/>
              </w:rPr>
              <w:t>dvě</w:t>
            </w:r>
            <w:r w:rsidRPr="00CF5B13">
              <w:rPr>
                <w:rFonts w:ascii="Times New Roman" w:hAnsi="Times New Roman" w:cs="Times New Roman"/>
                <w:sz w:val="24"/>
                <w:szCs w:val="24"/>
                <w:lang w:val="cs-CZ"/>
              </w:rPr>
              <w:t xml:space="preserve"> vojákyně zahraniční odborný kurs „Female Military officer Cours</w:t>
            </w:r>
            <w:r w:rsidR="00047ED7" w:rsidRPr="00CF5B13">
              <w:rPr>
                <w:rFonts w:ascii="Times New Roman" w:hAnsi="Times New Roman" w:cs="Times New Roman"/>
                <w:sz w:val="24"/>
                <w:szCs w:val="24"/>
                <w:lang w:val="cs-CZ"/>
              </w:rPr>
              <w:t>e“</w:t>
            </w:r>
            <w:r w:rsidRPr="00CF5B13">
              <w:rPr>
                <w:rFonts w:ascii="Times New Roman" w:hAnsi="Times New Roman" w:cs="Times New Roman"/>
                <w:sz w:val="24"/>
                <w:szCs w:val="24"/>
                <w:lang w:val="cs-CZ"/>
              </w:rPr>
              <w:t xml:space="preserve"> a jeden</w:t>
            </w:r>
            <w:r w:rsidRPr="00CF5B13">
              <w:rPr>
                <w:rFonts w:ascii="Times New Roman" w:hAnsi="Times New Roman" w:cs="Times New Roman"/>
                <w:i/>
                <w:sz w:val="24"/>
                <w:szCs w:val="24"/>
                <w:lang w:val="cs-CZ"/>
              </w:rPr>
              <w:t xml:space="preserve"> </w:t>
            </w:r>
            <w:r w:rsidRPr="00CF5B13">
              <w:rPr>
                <w:rFonts w:ascii="Times New Roman" w:hAnsi="Times New Roman" w:cs="Times New Roman"/>
                <w:sz w:val="24"/>
                <w:szCs w:val="24"/>
                <w:lang w:val="cs-CZ"/>
              </w:rPr>
              <w:t>voják zahraniční kurs „Gender Advisor course“.  Obdobně tomu bylo i v roce 2021.</w:t>
            </w:r>
          </w:p>
          <w:p w:rsidR="0044160F" w:rsidRPr="00CF5B13" w:rsidRDefault="0044160F" w:rsidP="0044160F">
            <w:pPr>
              <w:jc w:val="both"/>
              <w:rPr>
                <w:rFonts w:ascii="Times New Roman" w:hAnsi="Times New Roman" w:cs="Times New Roman"/>
                <w:sz w:val="24"/>
                <w:szCs w:val="24"/>
                <w:lang w:val="cs-CZ"/>
              </w:rPr>
            </w:pPr>
            <w:r w:rsidRPr="00CF5B13">
              <w:rPr>
                <w:rFonts w:ascii="Times New Roman" w:hAnsi="Times New Roman" w:cs="Times New Roman"/>
                <w:sz w:val="24"/>
                <w:szCs w:val="24"/>
                <w:lang w:val="cs-CZ"/>
              </w:rPr>
              <w:t xml:space="preserve">Dvě zástupkyně </w:t>
            </w:r>
            <w:r w:rsidR="00047ED7" w:rsidRPr="00CF5B13">
              <w:rPr>
                <w:rFonts w:ascii="Times New Roman" w:hAnsi="Times New Roman" w:cs="Times New Roman"/>
                <w:sz w:val="24"/>
                <w:szCs w:val="24"/>
                <w:lang w:val="cs-CZ"/>
              </w:rPr>
              <w:t>resort</w:t>
            </w:r>
            <w:r w:rsidRPr="00CF5B13">
              <w:rPr>
                <w:rFonts w:ascii="Times New Roman" w:hAnsi="Times New Roman" w:cs="Times New Roman"/>
                <w:sz w:val="24"/>
                <w:szCs w:val="24"/>
                <w:lang w:val="cs-CZ"/>
              </w:rPr>
              <w:t xml:space="preserve">u MO se zúčastnily mezinárodní konference v mongolském Ulánbátaru, která se konala pod záštitou OSN. Za účasti 30 členských států OSN zde byla diskutována účast žen a posílení jejich role v mírových misích. </w:t>
            </w:r>
          </w:p>
          <w:p w:rsidR="0044160F" w:rsidRPr="00CF5B13" w:rsidRDefault="00047ED7" w:rsidP="0044160F">
            <w:pPr>
              <w:jc w:val="both"/>
              <w:rPr>
                <w:rFonts w:ascii="Times New Roman" w:hAnsi="Times New Roman" w:cs="Times New Roman"/>
                <w:sz w:val="24"/>
                <w:szCs w:val="24"/>
                <w:lang w:val="cs-CZ"/>
              </w:rPr>
            </w:pPr>
            <w:r w:rsidRPr="00CF5B13">
              <w:rPr>
                <w:rFonts w:ascii="Times New Roman" w:hAnsi="Times New Roman" w:cs="Times New Roman"/>
                <w:sz w:val="24"/>
                <w:szCs w:val="24"/>
                <w:lang w:val="cs-CZ"/>
              </w:rPr>
              <w:t>Z</w:t>
            </w:r>
            <w:r w:rsidR="0044160F" w:rsidRPr="00CF5B13">
              <w:rPr>
                <w:rFonts w:ascii="Times New Roman" w:hAnsi="Times New Roman" w:cs="Times New Roman"/>
                <w:sz w:val="24"/>
                <w:szCs w:val="24"/>
                <w:lang w:val="cs-CZ"/>
              </w:rPr>
              <w:t>ástupce MO se zúčastnil mezinárodního semináře „</w:t>
            </w:r>
            <w:r w:rsidR="0044160F" w:rsidRPr="00CF5B13">
              <w:rPr>
                <w:rFonts w:ascii="Times New Roman" w:hAnsi="Times New Roman" w:cs="Times New Roman"/>
                <w:i/>
                <w:sz w:val="24"/>
                <w:szCs w:val="24"/>
                <w:lang w:val="cs-CZ"/>
              </w:rPr>
              <w:t>International Women, Peace and Security Seminar 2022</w:t>
            </w:r>
            <w:r w:rsidR="0044160F" w:rsidRPr="00CF5B13">
              <w:rPr>
                <w:rFonts w:ascii="Times New Roman" w:hAnsi="Times New Roman" w:cs="Times New Roman"/>
                <w:sz w:val="24"/>
                <w:szCs w:val="24"/>
                <w:lang w:val="cs-CZ"/>
              </w:rPr>
              <w:t>“ v bangladéšském Dhaká pořádaného při příležitosti setkání „</w:t>
            </w:r>
            <w:r w:rsidR="0044160F" w:rsidRPr="00CF5B13">
              <w:rPr>
                <w:rFonts w:ascii="Times New Roman" w:hAnsi="Times New Roman" w:cs="Times New Roman"/>
                <w:i/>
                <w:sz w:val="24"/>
                <w:szCs w:val="24"/>
                <w:lang w:val="cs-CZ"/>
              </w:rPr>
              <w:t>WPS ChoDs Network</w:t>
            </w:r>
            <w:r w:rsidR="0044160F" w:rsidRPr="00CF5B13">
              <w:rPr>
                <w:rFonts w:ascii="Times New Roman" w:hAnsi="Times New Roman" w:cs="Times New Roman"/>
                <w:sz w:val="24"/>
                <w:szCs w:val="24"/>
                <w:lang w:val="cs-CZ"/>
              </w:rPr>
              <w:t xml:space="preserve">“. Seminář byl zaměřen na výměnu zkušeností s implementací agendy WPS a ochranu zranitelných v konfliktech. </w:t>
            </w:r>
          </w:p>
          <w:p w:rsidR="0044160F" w:rsidRPr="00CF5B13" w:rsidRDefault="0044160F" w:rsidP="0044160F">
            <w:pPr>
              <w:jc w:val="both"/>
              <w:rPr>
                <w:rFonts w:ascii="Times New Roman" w:hAnsi="Times New Roman" w:cs="Times New Roman"/>
                <w:sz w:val="24"/>
                <w:szCs w:val="24"/>
                <w:lang w:val="cs-CZ"/>
              </w:rPr>
            </w:pPr>
            <w:r w:rsidRPr="00CF5B13">
              <w:rPr>
                <w:rFonts w:ascii="Times New Roman" w:hAnsi="Times New Roman" w:cs="Times New Roman"/>
                <w:sz w:val="24"/>
                <w:szCs w:val="24"/>
                <w:lang w:val="cs-CZ"/>
              </w:rPr>
              <w:t>Dvě</w:t>
            </w:r>
            <w:r w:rsidRPr="00CF5B13">
              <w:rPr>
                <w:rFonts w:ascii="Times New Roman" w:hAnsi="Times New Roman" w:cs="Times New Roman"/>
                <w:i/>
                <w:sz w:val="24"/>
                <w:szCs w:val="24"/>
                <w:lang w:val="cs-CZ"/>
              </w:rPr>
              <w:t xml:space="preserve"> </w:t>
            </w:r>
            <w:r w:rsidRPr="00CF5B13">
              <w:rPr>
                <w:rFonts w:ascii="Times New Roman" w:hAnsi="Times New Roman" w:cs="Times New Roman"/>
                <w:sz w:val="24"/>
                <w:szCs w:val="24"/>
                <w:lang w:val="cs-CZ"/>
              </w:rPr>
              <w:t xml:space="preserve">zástupkyně </w:t>
            </w:r>
            <w:r w:rsidR="00047ED7" w:rsidRPr="00CF5B13">
              <w:rPr>
                <w:rFonts w:ascii="Times New Roman" w:hAnsi="Times New Roman" w:cs="Times New Roman"/>
                <w:sz w:val="24"/>
                <w:szCs w:val="24"/>
                <w:lang w:val="cs-CZ"/>
              </w:rPr>
              <w:t>resort</w:t>
            </w:r>
            <w:r w:rsidRPr="00CF5B13">
              <w:rPr>
                <w:rFonts w:ascii="Times New Roman" w:hAnsi="Times New Roman" w:cs="Times New Roman"/>
                <w:sz w:val="24"/>
                <w:szCs w:val="24"/>
                <w:lang w:val="cs-CZ"/>
              </w:rPr>
              <w:t xml:space="preserve">u MO se účastnily konference ombudsmanských institucí v ozbrojených silách </w:t>
            </w:r>
            <w:r w:rsidRPr="00CF5B13">
              <w:rPr>
                <w:rFonts w:ascii="Times New Roman" w:hAnsi="Times New Roman" w:cs="Times New Roman"/>
                <w:sz w:val="24"/>
                <w:szCs w:val="24"/>
                <w:lang w:val="cs-CZ"/>
              </w:rPr>
              <w:lastRenderedPageBreak/>
              <w:t xml:space="preserve">ICOAF v Oslu. K tématům konference patřila práva a povinnosti příslušníků ozbrojených sil v době míru a válečného stavu, genderová rovnost v ozbrojených silách a právo na zdravotní péči příslušníků ozbrojených sil po vojenském nasazení. </w:t>
            </w:r>
          </w:p>
          <w:p w:rsidR="0044160F" w:rsidRPr="00CF5B13" w:rsidRDefault="0044160F" w:rsidP="0044160F">
            <w:pPr>
              <w:jc w:val="both"/>
              <w:rPr>
                <w:rFonts w:ascii="Times New Roman" w:hAnsi="Times New Roman" w:cs="Times New Roman"/>
                <w:sz w:val="24"/>
                <w:szCs w:val="24"/>
                <w:lang w:val="cs-CZ"/>
              </w:rPr>
            </w:pPr>
            <w:r w:rsidRPr="00CF5B13">
              <w:rPr>
                <w:rFonts w:ascii="Times New Roman" w:hAnsi="Times New Roman" w:cs="Times New Roman"/>
                <w:sz w:val="24"/>
                <w:szCs w:val="24"/>
                <w:lang w:val="cs-CZ"/>
              </w:rPr>
              <w:t>Stálá delegátka AČR ve Výboru NATO pro genderové perspektivy se účastnila oficiálního zahájení pravidelné konference tohoto Výboru na téma "Gender Perspective in NATO 2022: Integrating Gender Perspective – Moving from Policy to Practice".</w:t>
            </w:r>
          </w:p>
          <w:p w:rsidR="008D6EEA" w:rsidRPr="00CF5B13" w:rsidRDefault="008D6EEA" w:rsidP="0044160F">
            <w:pPr>
              <w:jc w:val="both"/>
              <w:rPr>
                <w:rFonts w:ascii="Times New Roman" w:hAnsi="Times New Roman" w:cs="Times New Roman"/>
                <w:sz w:val="24"/>
                <w:szCs w:val="24"/>
                <w:lang w:val="cs-CZ"/>
              </w:rPr>
            </w:pPr>
          </w:p>
          <w:p w:rsidR="008D6EEA" w:rsidRPr="00CF5B13" w:rsidRDefault="008D6EEA" w:rsidP="00345AF6">
            <w:pPr>
              <w:pStyle w:val="Odstavecseseznamem"/>
              <w:numPr>
                <w:ilvl w:val="0"/>
                <w:numId w:val="14"/>
              </w:numPr>
              <w:spacing w:after="120"/>
              <w:jc w:val="both"/>
              <w:rPr>
                <w:rFonts w:ascii="Times New Roman" w:hAnsi="Times New Roman" w:cs="Times New Roman"/>
                <w:b/>
                <w:sz w:val="24"/>
                <w:szCs w:val="24"/>
                <w:u w:val="single"/>
                <w:lang w:val="cs-CZ"/>
              </w:rPr>
            </w:pPr>
            <w:r w:rsidRPr="00CF5B13">
              <w:rPr>
                <w:rFonts w:ascii="Times New Roman" w:hAnsi="Times New Roman" w:cs="Times New Roman"/>
                <w:b/>
                <w:sz w:val="24"/>
                <w:szCs w:val="24"/>
                <w:u w:val="single"/>
                <w:lang w:val="cs-CZ"/>
              </w:rPr>
              <w:t>Úřad vlády</w:t>
            </w:r>
          </w:p>
          <w:p w:rsidR="008D6EEA" w:rsidRPr="00CF5B13" w:rsidRDefault="008D6EEA" w:rsidP="000D44ED">
            <w:pPr>
              <w:spacing w:before="60"/>
              <w:jc w:val="both"/>
              <w:rPr>
                <w:rFonts w:ascii="Times New Roman" w:hAnsi="Times New Roman" w:cs="Times New Roman"/>
                <w:sz w:val="24"/>
                <w:szCs w:val="24"/>
                <w:lang w:val="cs-CZ"/>
              </w:rPr>
            </w:pPr>
            <w:r w:rsidRPr="00CF5B13">
              <w:rPr>
                <w:rFonts w:ascii="Times New Roman" w:hAnsi="Times New Roman" w:cs="Times New Roman"/>
                <w:sz w:val="24"/>
                <w:szCs w:val="24"/>
                <w:lang w:val="cs-CZ"/>
              </w:rPr>
              <w:t>Byla zajištěna účast na jednání Komise OSN pro postavení žen, kde byla agenda WPS diskutována.</w:t>
            </w:r>
          </w:p>
          <w:p w:rsidR="0044160F" w:rsidRPr="00CF5B13" w:rsidRDefault="0044160F" w:rsidP="0044160F">
            <w:pPr>
              <w:jc w:val="both"/>
              <w:rPr>
                <w:rFonts w:ascii="Times New Roman" w:hAnsi="Times New Roman" w:cs="Times New Roman"/>
                <w:sz w:val="24"/>
                <w:szCs w:val="24"/>
                <w:lang w:val="cs-CZ"/>
              </w:rPr>
            </w:pPr>
          </w:p>
        </w:tc>
      </w:tr>
      <w:tr w:rsidR="0044160F" w:rsidRPr="00CF5B13" w:rsidTr="00D0567C">
        <w:tc>
          <w:tcPr>
            <w:tcW w:w="6799" w:type="dxa"/>
          </w:tcPr>
          <w:p w:rsidR="0044160F" w:rsidRPr="00CF5B13" w:rsidRDefault="0044160F" w:rsidP="0044160F">
            <w:pPr>
              <w:jc w:val="both"/>
              <w:rPr>
                <w:rFonts w:ascii="Times New Roman" w:eastAsia="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lastRenderedPageBreak/>
              <w:t>2.7 Pravidelně každoročně přispívat do rozpočtu UN Women. (MZV)</w:t>
            </w:r>
          </w:p>
        </w:tc>
        <w:tc>
          <w:tcPr>
            <w:tcW w:w="3402" w:type="dxa"/>
          </w:tcPr>
          <w:p w:rsidR="0044160F" w:rsidRPr="00CF5B13" w:rsidRDefault="0044160F" w:rsidP="0044160F">
            <w:pPr>
              <w:jc w:val="both"/>
              <w:rPr>
                <w:rFonts w:ascii="Times New Roman" w:hAnsi="Times New Roman" w:cs="Times New Roman"/>
                <w:b/>
                <w:color w:val="4472C4" w:themeColor="accent5"/>
                <w:sz w:val="24"/>
                <w:szCs w:val="24"/>
                <w:lang w:val="cs-CZ"/>
              </w:rPr>
            </w:pPr>
            <w:r w:rsidRPr="00CF5B13">
              <w:rPr>
                <w:rFonts w:ascii="Times New Roman" w:hAnsi="Times New Roman" w:cs="Times New Roman"/>
                <w:b/>
                <w:color w:val="4472C4" w:themeColor="accent5"/>
                <w:sz w:val="24"/>
                <w:szCs w:val="24"/>
                <w:lang w:val="cs-CZ"/>
              </w:rPr>
              <w:t>Splněno</w:t>
            </w:r>
          </w:p>
        </w:tc>
      </w:tr>
      <w:tr w:rsidR="0044160F" w:rsidRPr="00412C4E" w:rsidTr="006E149C">
        <w:tc>
          <w:tcPr>
            <w:tcW w:w="10201" w:type="dxa"/>
            <w:gridSpan w:val="2"/>
          </w:tcPr>
          <w:p w:rsidR="0044160F" w:rsidRPr="00CF5B13" w:rsidRDefault="0044160F" w:rsidP="00273952">
            <w:pPr>
              <w:spacing w:before="120"/>
              <w:jc w:val="both"/>
              <w:rPr>
                <w:rFonts w:ascii="Times New Roman" w:eastAsia="Times New Roman" w:hAnsi="Times New Roman" w:cs="Times New Roman"/>
                <w:sz w:val="24"/>
                <w:szCs w:val="24"/>
                <w:lang w:val="cs-CZ"/>
              </w:rPr>
            </w:pPr>
            <w:r w:rsidRPr="00CF5B13">
              <w:rPr>
                <w:rFonts w:ascii="Times New Roman" w:eastAsia="Times New Roman" w:hAnsi="Times New Roman" w:cs="Times New Roman"/>
                <w:sz w:val="24"/>
                <w:szCs w:val="24"/>
                <w:lang w:val="cs-CZ"/>
              </w:rPr>
              <w:t>ČR přispěl</w:t>
            </w:r>
            <w:r w:rsidR="001C6D53" w:rsidRPr="00CF5B13">
              <w:rPr>
                <w:rFonts w:ascii="Times New Roman" w:eastAsia="Times New Roman" w:hAnsi="Times New Roman" w:cs="Times New Roman"/>
                <w:sz w:val="24"/>
                <w:szCs w:val="24"/>
                <w:lang w:val="cs-CZ"/>
              </w:rPr>
              <w:t>a</w:t>
            </w:r>
            <w:r w:rsidRPr="00CF5B13">
              <w:rPr>
                <w:rFonts w:ascii="Times New Roman" w:eastAsia="Times New Roman" w:hAnsi="Times New Roman" w:cs="Times New Roman"/>
                <w:sz w:val="24"/>
                <w:szCs w:val="24"/>
                <w:lang w:val="cs-CZ"/>
              </w:rPr>
              <w:t xml:space="preserve"> do rozpočtu UN Women částkou 400 tis. CZK (stejně jako v letech předchozích).  </w:t>
            </w:r>
          </w:p>
          <w:p w:rsidR="001C6D53" w:rsidRPr="00CF5B13" w:rsidRDefault="001C6D53" w:rsidP="001C6D53">
            <w:pPr>
              <w:jc w:val="both"/>
              <w:rPr>
                <w:rFonts w:ascii="Times New Roman" w:eastAsia="Times New Roman" w:hAnsi="Times New Roman" w:cs="Times New Roman"/>
                <w:sz w:val="24"/>
                <w:szCs w:val="24"/>
                <w:lang w:val="cs-CZ"/>
              </w:rPr>
            </w:pPr>
          </w:p>
        </w:tc>
      </w:tr>
      <w:tr w:rsidR="0044160F" w:rsidRPr="00CF5B13" w:rsidTr="00D0567C">
        <w:tc>
          <w:tcPr>
            <w:tcW w:w="6799" w:type="dxa"/>
          </w:tcPr>
          <w:p w:rsidR="0044160F" w:rsidRPr="00CF5B13" w:rsidRDefault="0044160F" w:rsidP="0044160F">
            <w:pPr>
              <w:jc w:val="both"/>
              <w:rPr>
                <w:rFonts w:ascii="Times New Roman" w:eastAsia="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t xml:space="preserve">2.8 Aktivně kandidovat na členství v Komisi pro postavení žen na léta 2023-2027. </w:t>
            </w:r>
          </w:p>
          <w:p w:rsidR="0044160F" w:rsidRPr="00CF5B13" w:rsidRDefault="0044160F" w:rsidP="0044160F">
            <w:pPr>
              <w:jc w:val="both"/>
              <w:rPr>
                <w:rFonts w:ascii="Times New Roman" w:eastAsia="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t>(MZV/ÚV)</w:t>
            </w:r>
          </w:p>
        </w:tc>
        <w:tc>
          <w:tcPr>
            <w:tcW w:w="3402" w:type="dxa"/>
          </w:tcPr>
          <w:p w:rsidR="0044160F" w:rsidRPr="00CF5B13" w:rsidRDefault="0044160F" w:rsidP="0044160F">
            <w:pPr>
              <w:jc w:val="both"/>
              <w:rPr>
                <w:rFonts w:ascii="Times New Roman" w:eastAsia="Times New Roman" w:hAnsi="Times New Roman" w:cs="Times New Roman"/>
                <w:b/>
                <w:sz w:val="24"/>
                <w:szCs w:val="24"/>
                <w:lang w:val="cs-CZ"/>
              </w:rPr>
            </w:pPr>
            <w:r w:rsidRPr="00CF5B13">
              <w:rPr>
                <w:rFonts w:ascii="Times New Roman" w:eastAsia="Times New Roman" w:hAnsi="Times New Roman" w:cs="Times New Roman"/>
                <w:b/>
                <w:color w:val="4472C4" w:themeColor="accent5"/>
                <w:sz w:val="24"/>
                <w:szCs w:val="24"/>
                <w:lang w:val="cs-CZ"/>
              </w:rPr>
              <w:t>Splněno</w:t>
            </w:r>
          </w:p>
        </w:tc>
      </w:tr>
      <w:tr w:rsidR="0044160F" w:rsidRPr="00CF5B13" w:rsidTr="0011719C">
        <w:tc>
          <w:tcPr>
            <w:tcW w:w="10201" w:type="dxa"/>
            <w:gridSpan w:val="2"/>
          </w:tcPr>
          <w:p w:rsidR="0044160F" w:rsidRPr="00CF5B13" w:rsidRDefault="001C6D53" w:rsidP="00273952">
            <w:pPr>
              <w:spacing w:before="120"/>
              <w:jc w:val="both"/>
              <w:rPr>
                <w:rFonts w:ascii="Times New Roman" w:hAnsi="Times New Roman" w:cs="Times New Roman"/>
                <w:sz w:val="24"/>
                <w:szCs w:val="24"/>
                <w:lang w:val="cs-CZ"/>
              </w:rPr>
            </w:pPr>
            <w:r w:rsidRPr="00CF5B13">
              <w:rPr>
                <w:rFonts w:ascii="Times New Roman" w:hAnsi="Times New Roman" w:cs="Times New Roman"/>
                <w:sz w:val="24"/>
                <w:szCs w:val="24"/>
                <w:lang w:val="cs-CZ"/>
              </w:rPr>
              <w:t>ČR aktivně kandidovala na členství v Komisi OSN pro postavení žen na léta 2023-2027. Volby proběhly v dubnu 2022 a ČR byla zvolena.</w:t>
            </w:r>
          </w:p>
          <w:p w:rsidR="001C6D53" w:rsidRPr="00CF5B13" w:rsidRDefault="001C6D53" w:rsidP="0044160F">
            <w:pPr>
              <w:jc w:val="both"/>
              <w:rPr>
                <w:rFonts w:ascii="Times New Roman" w:hAnsi="Times New Roman" w:cs="Times New Roman"/>
                <w:sz w:val="24"/>
                <w:szCs w:val="24"/>
                <w:lang w:val="cs-CZ"/>
              </w:rPr>
            </w:pPr>
          </w:p>
        </w:tc>
      </w:tr>
      <w:tr w:rsidR="0044160F" w:rsidRPr="00CF5B13" w:rsidTr="00D0567C">
        <w:tc>
          <w:tcPr>
            <w:tcW w:w="6799" w:type="dxa"/>
          </w:tcPr>
          <w:p w:rsidR="0044160F" w:rsidRPr="00CF5B13" w:rsidRDefault="0044160F" w:rsidP="0044160F">
            <w:pPr>
              <w:jc w:val="both"/>
              <w:rPr>
                <w:rFonts w:ascii="Times New Roman" w:eastAsia="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t>2.9 Aktivně se účastnit jednání Skupiny přátel Agendy WPS v New Yorku a Ženevě. (MZV)</w:t>
            </w:r>
          </w:p>
        </w:tc>
        <w:tc>
          <w:tcPr>
            <w:tcW w:w="3402" w:type="dxa"/>
          </w:tcPr>
          <w:p w:rsidR="0044160F" w:rsidRPr="00CF5B13" w:rsidRDefault="0044160F" w:rsidP="0044160F">
            <w:pPr>
              <w:jc w:val="both"/>
              <w:rPr>
                <w:rFonts w:ascii="Times New Roman" w:hAnsi="Times New Roman" w:cs="Times New Roman"/>
                <w:b/>
                <w:sz w:val="24"/>
                <w:szCs w:val="24"/>
                <w:lang w:val="cs-CZ"/>
              </w:rPr>
            </w:pPr>
            <w:r w:rsidRPr="00CF5B13">
              <w:rPr>
                <w:rFonts w:ascii="Times New Roman" w:hAnsi="Times New Roman" w:cs="Times New Roman"/>
                <w:b/>
                <w:color w:val="4472C4" w:themeColor="accent5"/>
                <w:sz w:val="24"/>
                <w:szCs w:val="24"/>
                <w:lang w:val="cs-CZ"/>
              </w:rPr>
              <w:t>Plněno průběžně</w:t>
            </w:r>
          </w:p>
        </w:tc>
      </w:tr>
      <w:tr w:rsidR="0044160F" w:rsidRPr="00412C4E" w:rsidTr="0011719C">
        <w:tc>
          <w:tcPr>
            <w:tcW w:w="10201" w:type="dxa"/>
            <w:gridSpan w:val="2"/>
          </w:tcPr>
          <w:p w:rsidR="000D44ED" w:rsidRPr="00CF5B13" w:rsidRDefault="0044160F" w:rsidP="00273952">
            <w:pPr>
              <w:autoSpaceDE w:val="0"/>
              <w:autoSpaceDN w:val="0"/>
              <w:adjustRightInd w:val="0"/>
              <w:spacing w:before="120"/>
              <w:jc w:val="both"/>
              <w:rPr>
                <w:rFonts w:ascii="Tms Rmn" w:hAnsi="Tms Rmn" w:cs="Tms Rmn"/>
                <w:color w:val="000000"/>
                <w:sz w:val="24"/>
                <w:szCs w:val="24"/>
                <w:lang w:val="cs-CZ"/>
              </w:rPr>
            </w:pPr>
            <w:r w:rsidRPr="00CF5B13">
              <w:rPr>
                <w:rFonts w:ascii="Tms Rmn" w:hAnsi="Tms Rmn" w:cs="Tms Rmn"/>
                <w:color w:val="000000"/>
                <w:sz w:val="24"/>
                <w:szCs w:val="24"/>
                <w:lang w:val="cs-CZ"/>
              </w:rPr>
              <w:t xml:space="preserve"> </w:t>
            </w:r>
            <w:r w:rsidR="000D44ED" w:rsidRPr="00CF5B13">
              <w:rPr>
                <w:rFonts w:ascii="Tms Rmn" w:hAnsi="Tms Rmn" w:cs="Tms Rmn"/>
                <w:color w:val="000000"/>
                <w:sz w:val="24"/>
                <w:szCs w:val="24"/>
                <w:lang w:val="cs-CZ"/>
              </w:rPr>
              <w:t>Setkání newyorské Skupiny přátel Agendy WPS proběhla 2</w:t>
            </w:r>
            <w:r w:rsidR="00874DD1" w:rsidRPr="00CF5B13">
              <w:rPr>
                <w:rFonts w:ascii="Tms Rmn" w:hAnsi="Tms Rmn" w:cs="Tms Rmn"/>
                <w:color w:val="000000"/>
                <w:sz w:val="24"/>
                <w:szCs w:val="24"/>
                <w:lang w:val="cs-CZ"/>
              </w:rPr>
              <w:t>8.</w:t>
            </w:r>
            <w:r w:rsidR="000D44ED" w:rsidRPr="00CF5B13">
              <w:rPr>
                <w:rFonts w:ascii="Tms Rmn" w:hAnsi="Tms Rmn" w:cs="Tms Rmn"/>
                <w:color w:val="000000"/>
                <w:sz w:val="24"/>
                <w:szCs w:val="24"/>
                <w:lang w:val="cs-CZ"/>
              </w:rPr>
              <w:t xml:space="preserve">2., </w:t>
            </w:r>
            <w:r w:rsidR="00874DD1" w:rsidRPr="00CF5B13">
              <w:rPr>
                <w:rFonts w:ascii="Tms Rmn" w:hAnsi="Tms Rmn" w:cs="Tms Rmn"/>
                <w:color w:val="000000"/>
                <w:sz w:val="24"/>
                <w:szCs w:val="24"/>
                <w:lang w:val="cs-CZ"/>
              </w:rPr>
              <w:t>1.4</w:t>
            </w:r>
            <w:r w:rsidR="000D44ED" w:rsidRPr="00CF5B13">
              <w:rPr>
                <w:rFonts w:ascii="Tms Rmn" w:hAnsi="Tms Rmn" w:cs="Tms Rmn"/>
                <w:color w:val="000000"/>
                <w:sz w:val="24"/>
                <w:szCs w:val="24"/>
                <w:lang w:val="cs-CZ"/>
              </w:rPr>
              <w:t xml:space="preserve">., </w:t>
            </w:r>
            <w:r w:rsidR="00874DD1" w:rsidRPr="00CF5B13">
              <w:rPr>
                <w:rFonts w:ascii="Tms Rmn" w:hAnsi="Tms Rmn" w:cs="Tms Rmn"/>
                <w:color w:val="000000"/>
                <w:sz w:val="24"/>
                <w:szCs w:val="24"/>
                <w:lang w:val="cs-CZ"/>
              </w:rPr>
              <w:t>29.9</w:t>
            </w:r>
            <w:r w:rsidR="000D44ED" w:rsidRPr="00CF5B13">
              <w:rPr>
                <w:rFonts w:ascii="Tms Rmn" w:hAnsi="Tms Rmn" w:cs="Tms Rmn"/>
                <w:color w:val="000000"/>
                <w:sz w:val="24"/>
                <w:szCs w:val="24"/>
                <w:lang w:val="cs-CZ"/>
              </w:rPr>
              <w:t xml:space="preserve">. a </w:t>
            </w:r>
            <w:r w:rsidR="00874DD1" w:rsidRPr="00CF5B13">
              <w:rPr>
                <w:rFonts w:ascii="Tms Rmn" w:hAnsi="Tms Rmn" w:cs="Tms Rmn"/>
                <w:color w:val="000000"/>
                <w:sz w:val="24"/>
                <w:szCs w:val="24"/>
                <w:lang w:val="cs-CZ"/>
              </w:rPr>
              <w:t>5</w:t>
            </w:r>
            <w:r w:rsidR="000D44ED" w:rsidRPr="00CF5B13">
              <w:rPr>
                <w:rFonts w:ascii="Tms Rmn" w:hAnsi="Tms Rmn" w:cs="Tms Rmn"/>
                <w:color w:val="000000"/>
                <w:sz w:val="24"/>
                <w:szCs w:val="24"/>
                <w:lang w:val="cs-CZ"/>
              </w:rPr>
              <w:t>.12. 2022. ČR se zúčastnila všech jednání, která tradičně sestávají z brífinků členů RB OSN o aktivitách neformální skupiny expertů, nebo o připravovaných zasedáních</w:t>
            </w:r>
            <w:r w:rsidR="00874DD1" w:rsidRPr="00CF5B13">
              <w:rPr>
                <w:rFonts w:ascii="Tms Rmn" w:hAnsi="Tms Rmn" w:cs="Tms Rmn"/>
                <w:color w:val="000000"/>
                <w:sz w:val="24"/>
                <w:szCs w:val="24"/>
                <w:lang w:val="cs-CZ"/>
              </w:rPr>
              <w:t xml:space="preserve"> RB OSN spojených s Agendou WPS</w:t>
            </w:r>
            <w:r w:rsidR="000D44ED" w:rsidRPr="00CF5B13">
              <w:rPr>
                <w:rFonts w:ascii="Tms Rmn" w:hAnsi="Tms Rmn" w:cs="Tms Rmn"/>
                <w:color w:val="000000"/>
                <w:sz w:val="24"/>
                <w:szCs w:val="24"/>
                <w:lang w:val="cs-CZ"/>
              </w:rPr>
              <w:t>. ČR se také připojila ke všem společným projevům skupiny předneseným v roce 202</w:t>
            </w:r>
            <w:r w:rsidR="00874DD1" w:rsidRPr="00CF5B13">
              <w:rPr>
                <w:rFonts w:ascii="Tms Rmn" w:hAnsi="Tms Rmn" w:cs="Tms Rmn"/>
                <w:color w:val="000000"/>
                <w:sz w:val="24"/>
                <w:szCs w:val="24"/>
                <w:lang w:val="cs-CZ"/>
              </w:rPr>
              <w:t>2</w:t>
            </w:r>
            <w:r w:rsidR="000D44ED" w:rsidRPr="00CF5B13">
              <w:rPr>
                <w:rFonts w:ascii="Tms Rmn" w:hAnsi="Tms Rmn" w:cs="Tms Rmn"/>
                <w:color w:val="000000"/>
                <w:sz w:val="24"/>
                <w:szCs w:val="24"/>
                <w:lang w:val="cs-CZ"/>
              </w:rPr>
              <w:t>.</w:t>
            </w:r>
            <w:r w:rsidR="000D44ED" w:rsidRPr="00CF5B13">
              <w:rPr>
                <w:rFonts w:ascii="Times New Roman" w:hAnsi="Times New Roman" w:cs="Times New Roman"/>
                <w:sz w:val="24"/>
                <w:szCs w:val="24"/>
                <w:lang w:val="cs-CZ"/>
              </w:rPr>
              <w:t xml:space="preserve"> V Ženevě neproběhlo žádné formální setkání Skupiny přátel Agendy WPS.</w:t>
            </w:r>
          </w:p>
          <w:p w:rsidR="0044160F" w:rsidRPr="00CF5B13" w:rsidRDefault="0044160F" w:rsidP="0044160F">
            <w:pPr>
              <w:autoSpaceDE w:val="0"/>
              <w:autoSpaceDN w:val="0"/>
              <w:adjustRightInd w:val="0"/>
              <w:jc w:val="both"/>
              <w:rPr>
                <w:rFonts w:ascii="Tms Rmn" w:hAnsi="Tms Rmn" w:cs="Tms Rmn"/>
                <w:color w:val="000000"/>
                <w:sz w:val="24"/>
                <w:szCs w:val="24"/>
                <w:lang w:val="cs-CZ"/>
              </w:rPr>
            </w:pPr>
          </w:p>
        </w:tc>
      </w:tr>
      <w:tr w:rsidR="0044160F" w:rsidRPr="00CF5B13" w:rsidTr="00D0567C">
        <w:tc>
          <w:tcPr>
            <w:tcW w:w="6799" w:type="dxa"/>
          </w:tcPr>
          <w:p w:rsidR="0044160F" w:rsidRPr="00CF5B13" w:rsidRDefault="0044160F" w:rsidP="0044160F">
            <w:pPr>
              <w:jc w:val="both"/>
              <w:rPr>
                <w:rFonts w:ascii="Times New Roman" w:eastAsia="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t xml:space="preserve">2.10 Zajistit aktivní účast ČR na jednáních pracovní skupiny EU k Agendě WPS. </w:t>
            </w:r>
          </w:p>
          <w:p w:rsidR="0044160F" w:rsidRPr="00CF5B13" w:rsidRDefault="0044160F" w:rsidP="0044160F">
            <w:pPr>
              <w:jc w:val="both"/>
              <w:rPr>
                <w:rFonts w:ascii="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t>(MZV)</w:t>
            </w:r>
          </w:p>
        </w:tc>
        <w:tc>
          <w:tcPr>
            <w:tcW w:w="3402" w:type="dxa"/>
          </w:tcPr>
          <w:p w:rsidR="0044160F" w:rsidRPr="00CF5B13" w:rsidRDefault="0044160F" w:rsidP="0044160F">
            <w:pPr>
              <w:jc w:val="both"/>
              <w:rPr>
                <w:rFonts w:ascii="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t xml:space="preserve"> </w:t>
            </w:r>
            <w:r w:rsidR="001C6D53" w:rsidRPr="00CF5B13">
              <w:rPr>
                <w:rFonts w:ascii="Times New Roman" w:eastAsia="Times New Roman" w:hAnsi="Times New Roman" w:cs="Times New Roman"/>
                <w:b/>
                <w:color w:val="4472C4" w:themeColor="accent5"/>
                <w:sz w:val="24"/>
                <w:szCs w:val="24"/>
                <w:lang w:val="cs-CZ"/>
              </w:rPr>
              <w:t>Splněno</w:t>
            </w:r>
          </w:p>
        </w:tc>
      </w:tr>
      <w:tr w:rsidR="0044160F" w:rsidRPr="00CF5B13" w:rsidTr="0011719C">
        <w:tc>
          <w:tcPr>
            <w:tcW w:w="10201" w:type="dxa"/>
            <w:gridSpan w:val="2"/>
          </w:tcPr>
          <w:p w:rsidR="0044160F" w:rsidRPr="00CF5B13" w:rsidRDefault="001C6D53" w:rsidP="00273952">
            <w:pPr>
              <w:spacing w:before="120"/>
              <w:jc w:val="both"/>
              <w:rPr>
                <w:rFonts w:ascii="Times New Roman" w:hAnsi="Times New Roman" w:cs="Times New Roman"/>
                <w:sz w:val="24"/>
                <w:szCs w:val="24"/>
                <w:lang w:val="cs-CZ"/>
              </w:rPr>
            </w:pPr>
            <w:r w:rsidRPr="00CF5B13">
              <w:rPr>
                <w:rFonts w:ascii="Times New Roman" w:hAnsi="Times New Roman" w:cs="Times New Roman"/>
                <w:sz w:val="24"/>
                <w:szCs w:val="24"/>
                <w:lang w:val="cs-CZ"/>
              </w:rPr>
              <w:t>Během roku 2022 se uskutečnilo zvláštní setkání Task Force k WPS věnované situaci žen a dívek na Ukrajině a v regionu organizovan</w:t>
            </w:r>
            <w:r w:rsidR="00047ED7" w:rsidRPr="00CF5B13">
              <w:rPr>
                <w:rFonts w:ascii="Times New Roman" w:hAnsi="Times New Roman" w:cs="Times New Roman"/>
                <w:sz w:val="24"/>
                <w:szCs w:val="24"/>
                <w:lang w:val="cs-CZ"/>
              </w:rPr>
              <w:t>é</w:t>
            </w:r>
            <w:r w:rsidRPr="00CF5B13">
              <w:rPr>
                <w:rFonts w:ascii="Times New Roman" w:hAnsi="Times New Roman" w:cs="Times New Roman"/>
                <w:sz w:val="24"/>
                <w:szCs w:val="24"/>
                <w:lang w:val="cs-CZ"/>
              </w:rPr>
              <w:t xml:space="preserve"> ve spolupráci s UN Women a Care International, kterého se zúčastnila zástupkyně Stálého zastoupení ČR v Bruselu. Jiná jednání Task Force se během roku 2022 neuskutečnila.</w:t>
            </w:r>
          </w:p>
          <w:p w:rsidR="001C6D53" w:rsidRPr="00CF5B13" w:rsidRDefault="001C6D53" w:rsidP="0044160F">
            <w:pPr>
              <w:jc w:val="both"/>
              <w:rPr>
                <w:rFonts w:ascii="Times New Roman" w:hAnsi="Times New Roman" w:cs="Times New Roman"/>
                <w:sz w:val="24"/>
                <w:szCs w:val="24"/>
                <w:lang w:val="cs-CZ"/>
              </w:rPr>
            </w:pPr>
          </w:p>
        </w:tc>
      </w:tr>
      <w:tr w:rsidR="0044160F" w:rsidRPr="00CF5B13" w:rsidTr="00D0567C">
        <w:tc>
          <w:tcPr>
            <w:tcW w:w="6799" w:type="dxa"/>
          </w:tcPr>
          <w:p w:rsidR="0044160F" w:rsidRPr="00CF5B13" w:rsidRDefault="0044160F" w:rsidP="0044160F">
            <w:pPr>
              <w:jc w:val="both"/>
              <w:rPr>
                <w:rFonts w:ascii="Times New Roman" w:eastAsia="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t xml:space="preserve">2.11 Konzultovat s partnerskými zeměmi téma WPS nebo genderovou problematiku. </w:t>
            </w:r>
          </w:p>
          <w:p w:rsidR="0044160F" w:rsidRPr="00CF5B13" w:rsidRDefault="0044160F" w:rsidP="00DD0BA3">
            <w:pPr>
              <w:spacing w:after="120"/>
              <w:jc w:val="both"/>
              <w:rPr>
                <w:rFonts w:ascii="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t>(MZV, MO)</w:t>
            </w:r>
          </w:p>
        </w:tc>
        <w:tc>
          <w:tcPr>
            <w:tcW w:w="3402" w:type="dxa"/>
          </w:tcPr>
          <w:p w:rsidR="0044160F" w:rsidRPr="00CF5B13" w:rsidRDefault="0044160F" w:rsidP="0044160F">
            <w:pPr>
              <w:jc w:val="both"/>
              <w:rPr>
                <w:rFonts w:ascii="Times New Roman" w:hAnsi="Times New Roman" w:cs="Times New Roman"/>
                <w:b/>
                <w:color w:val="4472C4" w:themeColor="accent5"/>
                <w:sz w:val="24"/>
                <w:szCs w:val="24"/>
                <w:lang w:val="cs-CZ"/>
              </w:rPr>
            </w:pPr>
            <w:r w:rsidRPr="00CF5B13">
              <w:rPr>
                <w:rFonts w:ascii="Times New Roman" w:hAnsi="Times New Roman" w:cs="Times New Roman"/>
                <w:b/>
                <w:color w:val="4472C4" w:themeColor="accent5"/>
                <w:sz w:val="24"/>
                <w:szCs w:val="24"/>
                <w:lang w:val="cs-CZ"/>
              </w:rPr>
              <w:t xml:space="preserve"> Plněno průběžně</w:t>
            </w:r>
          </w:p>
        </w:tc>
      </w:tr>
      <w:tr w:rsidR="0044160F" w:rsidRPr="00412C4E" w:rsidTr="0011719C">
        <w:tc>
          <w:tcPr>
            <w:tcW w:w="10201" w:type="dxa"/>
            <w:gridSpan w:val="2"/>
          </w:tcPr>
          <w:p w:rsidR="0044160F" w:rsidRPr="00CF5B13" w:rsidRDefault="0044160F" w:rsidP="00A126BD">
            <w:pPr>
              <w:pStyle w:val="Odstavecseseznamem"/>
              <w:numPr>
                <w:ilvl w:val="0"/>
                <w:numId w:val="25"/>
              </w:numPr>
              <w:spacing w:before="120"/>
              <w:ind w:left="1003"/>
              <w:jc w:val="both"/>
              <w:rPr>
                <w:rFonts w:ascii="Times New Roman" w:hAnsi="Times New Roman" w:cs="Times New Roman"/>
                <w:b/>
                <w:sz w:val="24"/>
                <w:szCs w:val="24"/>
                <w:u w:val="single"/>
                <w:lang w:val="cs-CZ"/>
              </w:rPr>
            </w:pPr>
            <w:r w:rsidRPr="00CF5B13">
              <w:rPr>
                <w:rFonts w:ascii="Times New Roman" w:hAnsi="Times New Roman" w:cs="Times New Roman"/>
                <w:sz w:val="24"/>
                <w:szCs w:val="24"/>
                <w:lang w:val="cs-CZ"/>
              </w:rPr>
              <w:t xml:space="preserve">  </w:t>
            </w:r>
            <w:r w:rsidRPr="00CF5B13">
              <w:rPr>
                <w:rFonts w:ascii="Times New Roman" w:hAnsi="Times New Roman" w:cs="Times New Roman"/>
                <w:b/>
                <w:sz w:val="24"/>
                <w:szCs w:val="24"/>
                <w:u w:val="single"/>
                <w:lang w:val="cs-CZ"/>
              </w:rPr>
              <w:t>Ministerstvo zahraničí</w:t>
            </w:r>
          </w:p>
          <w:p w:rsidR="0044160F" w:rsidRPr="00CF5B13" w:rsidRDefault="00273952" w:rsidP="00A126BD">
            <w:pPr>
              <w:spacing w:before="120" w:after="240"/>
              <w:jc w:val="both"/>
              <w:rPr>
                <w:rFonts w:ascii="Times New Roman" w:hAnsi="Times New Roman" w:cs="Times New Roman"/>
                <w:sz w:val="24"/>
                <w:szCs w:val="24"/>
                <w:lang w:val="cs-CZ"/>
              </w:rPr>
            </w:pPr>
            <w:r w:rsidRPr="00CF5B13">
              <w:rPr>
                <w:rFonts w:ascii="Times New Roman" w:hAnsi="Times New Roman" w:cs="Times New Roman"/>
                <w:sz w:val="24"/>
                <w:szCs w:val="24"/>
                <w:lang w:val="cs-CZ"/>
              </w:rPr>
              <w:t>T</w:t>
            </w:r>
            <w:r w:rsidR="00A126BD" w:rsidRPr="00CF5B13">
              <w:rPr>
                <w:rFonts w:ascii="Times New Roman" w:hAnsi="Times New Roman" w:cs="Times New Roman"/>
                <w:sz w:val="24"/>
                <w:szCs w:val="24"/>
                <w:lang w:val="cs-CZ"/>
              </w:rPr>
              <w:t xml:space="preserve">éma WPS je průběžně diskutováno v rámci agendy společné zahraniční a bezpečnostní politiky na různých úrovních a v rámci různých formátů. ČR rovněž konzultuje pravidelně v rámci EU Task Force </w:t>
            </w:r>
            <w:r w:rsidR="00A126BD" w:rsidRPr="00CF5B13">
              <w:rPr>
                <w:rFonts w:ascii="Times New Roman" w:hAnsi="Times New Roman" w:cs="Times New Roman"/>
                <w:sz w:val="24"/>
                <w:szCs w:val="24"/>
                <w:lang w:val="cs-CZ"/>
              </w:rPr>
              <w:lastRenderedPageBreak/>
              <w:t>k Agendě WPS</w:t>
            </w:r>
            <w:r w:rsidRPr="00CF5B13">
              <w:rPr>
                <w:rFonts w:ascii="Times New Roman" w:hAnsi="Times New Roman" w:cs="Times New Roman"/>
                <w:sz w:val="24"/>
                <w:szCs w:val="24"/>
                <w:lang w:val="cs-CZ"/>
              </w:rPr>
              <w:t xml:space="preserve"> a zařazuje téma v relevantních případech do bilaterálních dialogů</w:t>
            </w:r>
            <w:r w:rsidR="00A126BD" w:rsidRPr="00CF5B13">
              <w:rPr>
                <w:rFonts w:ascii="Times New Roman" w:hAnsi="Times New Roman" w:cs="Times New Roman"/>
                <w:sz w:val="24"/>
                <w:szCs w:val="24"/>
                <w:lang w:val="cs-CZ"/>
              </w:rPr>
              <w:t>.</w:t>
            </w:r>
          </w:p>
          <w:p w:rsidR="0044160F" w:rsidRPr="00CF5B13" w:rsidRDefault="0044160F" w:rsidP="00A126BD">
            <w:pPr>
              <w:pStyle w:val="Odstavecseseznamem"/>
              <w:numPr>
                <w:ilvl w:val="0"/>
                <w:numId w:val="25"/>
              </w:numPr>
              <w:ind w:left="1003"/>
              <w:jc w:val="both"/>
              <w:rPr>
                <w:rFonts w:ascii="Times New Roman" w:hAnsi="Times New Roman" w:cs="Times New Roman"/>
                <w:b/>
                <w:sz w:val="24"/>
                <w:szCs w:val="24"/>
                <w:u w:val="single"/>
                <w:lang w:val="cs-CZ"/>
              </w:rPr>
            </w:pPr>
            <w:r w:rsidRPr="00CF5B13">
              <w:rPr>
                <w:rFonts w:ascii="Times New Roman" w:hAnsi="Times New Roman" w:cs="Times New Roman"/>
                <w:b/>
                <w:sz w:val="24"/>
                <w:szCs w:val="24"/>
                <w:u w:val="single"/>
                <w:lang w:val="cs-CZ"/>
              </w:rPr>
              <w:t>Ministerstvo obrany</w:t>
            </w:r>
          </w:p>
          <w:p w:rsidR="0044160F" w:rsidRPr="00CF5B13" w:rsidRDefault="0044160F" w:rsidP="0044160F">
            <w:pPr>
              <w:spacing w:before="120"/>
              <w:jc w:val="both"/>
              <w:rPr>
                <w:rFonts w:ascii="Times New Roman" w:hAnsi="Times New Roman" w:cs="Times New Roman"/>
                <w:sz w:val="24"/>
                <w:szCs w:val="24"/>
                <w:lang w:val="cs-CZ"/>
              </w:rPr>
            </w:pPr>
            <w:r w:rsidRPr="00CF5B13">
              <w:rPr>
                <w:rFonts w:ascii="Times New Roman" w:hAnsi="Times New Roman" w:cs="Times New Roman"/>
                <w:sz w:val="24"/>
                <w:szCs w:val="24"/>
                <w:lang w:val="cs-CZ"/>
              </w:rPr>
              <w:t>Téma WPS a genderová problematika byla ve vhodných a odůvodněných případech konzultována s partnery, zejména s Jordánskem a Kanadou. Dále ČR v rámci svého velení EUTM – Mali ve druhé polovině roku 2022 obsadila pozici „</w:t>
            </w:r>
            <w:r w:rsidRPr="00CF5B13">
              <w:rPr>
                <w:rFonts w:ascii="Times New Roman" w:hAnsi="Times New Roman" w:cs="Times New Roman"/>
                <w:i/>
                <w:sz w:val="24"/>
                <w:szCs w:val="24"/>
                <w:lang w:val="cs-CZ"/>
              </w:rPr>
              <w:t>Human Rights and Gender Advisor</w:t>
            </w:r>
            <w:r w:rsidRPr="00CF5B13">
              <w:rPr>
                <w:rFonts w:ascii="Times New Roman" w:hAnsi="Times New Roman" w:cs="Times New Roman"/>
                <w:sz w:val="24"/>
                <w:szCs w:val="24"/>
                <w:lang w:val="cs-CZ"/>
              </w:rPr>
              <w:t xml:space="preserve">“ v rámci struktury mise. </w:t>
            </w:r>
          </w:p>
          <w:p w:rsidR="0044160F" w:rsidRPr="00CF5B13" w:rsidRDefault="0044160F" w:rsidP="0044160F">
            <w:pPr>
              <w:jc w:val="both"/>
              <w:rPr>
                <w:rFonts w:ascii="Times New Roman" w:hAnsi="Times New Roman" w:cs="Times New Roman"/>
                <w:sz w:val="24"/>
                <w:szCs w:val="24"/>
                <w:lang w:val="cs-CZ"/>
              </w:rPr>
            </w:pPr>
            <w:r w:rsidRPr="00CF5B13">
              <w:rPr>
                <w:rFonts w:ascii="Times New Roman" w:hAnsi="Times New Roman" w:cs="Times New Roman"/>
                <w:sz w:val="24"/>
                <w:szCs w:val="24"/>
                <w:lang w:val="cs-CZ"/>
              </w:rPr>
              <w:t>Dvě důstojnice AČR prezentovaly best practices v mongolském Ulanbataru</w:t>
            </w:r>
            <w:r w:rsidR="00F6570C">
              <w:rPr>
                <w:rStyle w:val="Znakapoznpodarou"/>
                <w:rFonts w:ascii="Times New Roman" w:hAnsi="Times New Roman" w:cs="Times New Roman"/>
                <w:sz w:val="24"/>
                <w:szCs w:val="24"/>
                <w:lang w:val="cs-CZ"/>
              </w:rPr>
              <w:footnoteReference w:id="2"/>
            </w:r>
            <w:r w:rsidR="00F6570C">
              <w:rPr>
                <w:rFonts w:ascii="Times New Roman" w:hAnsi="Times New Roman" w:cs="Times New Roman"/>
                <w:sz w:val="24"/>
                <w:szCs w:val="24"/>
                <w:lang w:val="cs-CZ"/>
              </w:rPr>
              <w:t>.</w:t>
            </w:r>
            <w:r w:rsidRPr="00CF5B13">
              <w:rPr>
                <w:rFonts w:ascii="Times New Roman" w:hAnsi="Times New Roman" w:cs="Times New Roman"/>
                <w:sz w:val="24"/>
                <w:szCs w:val="24"/>
                <w:lang w:val="cs-CZ"/>
              </w:rPr>
              <w:t xml:space="preserve"> Česká prezentace se týkala náboru  a udržitelnosti žen v AČR. </w:t>
            </w:r>
          </w:p>
          <w:p w:rsidR="0044160F" w:rsidRPr="00CF5B13" w:rsidRDefault="0044160F" w:rsidP="0044160F">
            <w:pPr>
              <w:jc w:val="both"/>
              <w:rPr>
                <w:rFonts w:ascii="Times New Roman" w:hAnsi="Times New Roman" w:cs="Times New Roman"/>
                <w:sz w:val="24"/>
                <w:szCs w:val="24"/>
                <w:lang w:val="cs-CZ"/>
              </w:rPr>
            </w:pPr>
          </w:p>
        </w:tc>
      </w:tr>
      <w:tr w:rsidR="0044160F" w:rsidRPr="00CF5B13" w:rsidTr="00D0567C">
        <w:tc>
          <w:tcPr>
            <w:tcW w:w="6799" w:type="dxa"/>
          </w:tcPr>
          <w:p w:rsidR="0044160F" w:rsidRPr="00CF5B13" w:rsidRDefault="0044160F" w:rsidP="0044160F">
            <w:pPr>
              <w:jc w:val="both"/>
              <w:rPr>
                <w:rFonts w:ascii="Times New Roman" w:eastAsia="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lastRenderedPageBreak/>
              <w:t xml:space="preserve">2.12 Identifikovat a následně realizovat vhodný projekt zaměřený na implementaci Agendy WPS ve spolupráci se zahraničním partnerem. </w:t>
            </w:r>
          </w:p>
          <w:p w:rsidR="0044160F" w:rsidRPr="00CF5B13" w:rsidRDefault="0044160F" w:rsidP="0044160F">
            <w:pPr>
              <w:jc w:val="both"/>
              <w:rPr>
                <w:rFonts w:ascii="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t>(MO, MZV)</w:t>
            </w:r>
          </w:p>
        </w:tc>
        <w:tc>
          <w:tcPr>
            <w:tcW w:w="3402" w:type="dxa"/>
          </w:tcPr>
          <w:p w:rsidR="0044160F" w:rsidRPr="00CF5B13" w:rsidRDefault="0044160F" w:rsidP="0044160F">
            <w:pPr>
              <w:jc w:val="both"/>
              <w:rPr>
                <w:rFonts w:ascii="Times New Roman" w:eastAsia="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t>Plněno průběžně</w:t>
            </w:r>
          </w:p>
          <w:p w:rsidR="0044160F" w:rsidRPr="00CF5B13" w:rsidRDefault="0044160F" w:rsidP="0044160F">
            <w:pPr>
              <w:jc w:val="both"/>
              <w:rPr>
                <w:rFonts w:ascii="Times New Roman" w:hAnsi="Times New Roman" w:cs="Times New Roman"/>
                <w:b/>
                <w:color w:val="4472C4" w:themeColor="accent5"/>
                <w:sz w:val="24"/>
                <w:szCs w:val="24"/>
                <w:lang w:val="cs-CZ"/>
              </w:rPr>
            </w:pPr>
          </w:p>
        </w:tc>
      </w:tr>
      <w:tr w:rsidR="0044160F" w:rsidRPr="00412C4E" w:rsidTr="0011719C">
        <w:tc>
          <w:tcPr>
            <w:tcW w:w="10201" w:type="dxa"/>
            <w:gridSpan w:val="2"/>
          </w:tcPr>
          <w:p w:rsidR="0044160F" w:rsidRPr="00CF5B13" w:rsidRDefault="0044160F" w:rsidP="004A79EC">
            <w:pPr>
              <w:pStyle w:val="Odstavecseseznamem"/>
              <w:numPr>
                <w:ilvl w:val="0"/>
                <w:numId w:val="23"/>
              </w:numPr>
              <w:spacing w:before="120"/>
              <w:ind w:left="1003"/>
              <w:jc w:val="both"/>
              <w:rPr>
                <w:rFonts w:ascii="Times New Roman" w:hAnsi="Times New Roman" w:cs="Times New Roman"/>
                <w:color w:val="000000" w:themeColor="text1"/>
                <w:sz w:val="24"/>
                <w:szCs w:val="24"/>
                <w:lang w:val="cs-CZ"/>
              </w:rPr>
            </w:pPr>
            <w:r w:rsidRPr="00CF5B13">
              <w:rPr>
                <w:rFonts w:ascii="Times New Roman" w:hAnsi="Times New Roman" w:cs="Times New Roman"/>
                <w:b/>
                <w:sz w:val="24"/>
                <w:szCs w:val="24"/>
                <w:lang w:val="cs-CZ"/>
              </w:rPr>
              <w:t xml:space="preserve"> </w:t>
            </w:r>
            <w:r w:rsidRPr="00CF5B13">
              <w:rPr>
                <w:rFonts w:ascii="Times New Roman" w:hAnsi="Times New Roman" w:cs="Times New Roman"/>
                <w:b/>
                <w:sz w:val="24"/>
                <w:szCs w:val="24"/>
                <w:u w:val="single"/>
                <w:lang w:val="cs-CZ"/>
              </w:rPr>
              <w:t>Ministerstvo obrany</w:t>
            </w:r>
            <w:r w:rsidRPr="00CF5B13">
              <w:rPr>
                <w:rFonts w:ascii="Times New Roman" w:hAnsi="Times New Roman" w:cs="Times New Roman"/>
                <w:color w:val="000000" w:themeColor="text1"/>
                <w:sz w:val="24"/>
                <w:szCs w:val="24"/>
                <w:lang w:val="cs-CZ"/>
              </w:rPr>
              <w:t xml:space="preserve"> </w:t>
            </w:r>
          </w:p>
          <w:p w:rsidR="004A79EC" w:rsidRPr="00CF5B13" w:rsidRDefault="0044160F" w:rsidP="0044160F">
            <w:pPr>
              <w:spacing w:before="120"/>
              <w:jc w:val="both"/>
              <w:rPr>
                <w:rFonts w:ascii="Times New Roman" w:eastAsia="Times New Roman" w:hAnsi="Times New Roman" w:cs="Times New Roman"/>
                <w:sz w:val="24"/>
                <w:szCs w:val="24"/>
                <w:lang w:val="cs-CZ"/>
              </w:rPr>
            </w:pPr>
            <w:r w:rsidRPr="00CF5B13">
              <w:rPr>
                <w:rFonts w:ascii="Times New Roman" w:eastAsia="Times New Roman" w:hAnsi="Times New Roman" w:cs="Times New Roman"/>
                <w:sz w:val="24"/>
                <w:szCs w:val="24"/>
                <w:lang w:val="cs-CZ"/>
              </w:rPr>
              <w:t>V září 2022 navštívila ČR jordánská expertní delegace v oblasti rovných příležitostí, kterou vedla ředitelka pro genderové záležitosti Jordánských ozbrojených sil. Delegace jednala s náměstkem pro řízení Sekce obranné politiky a strategie</w:t>
            </w:r>
            <w:r w:rsidR="00047ED7" w:rsidRPr="00CF5B13">
              <w:rPr>
                <w:rFonts w:ascii="Times New Roman" w:eastAsia="Times New Roman" w:hAnsi="Times New Roman" w:cs="Times New Roman"/>
                <w:sz w:val="24"/>
                <w:szCs w:val="24"/>
                <w:lang w:val="cs-CZ"/>
              </w:rPr>
              <w:t xml:space="preserve"> či s</w:t>
            </w:r>
            <w:r w:rsidRPr="00CF5B13">
              <w:rPr>
                <w:rFonts w:ascii="Times New Roman" w:eastAsia="Times New Roman" w:hAnsi="Times New Roman" w:cs="Times New Roman"/>
                <w:sz w:val="24"/>
                <w:szCs w:val="24"/>
                <w:lang w:val="cs-CZ"/>
              </w:rPr>
              <w:t xml:space="preserve"> poradkyní NGŠ AČR a navštívila</w:t>
            </w:r>
            <w:r w:rsidR="00047ED7" w:rsidRPr="00CF5B13">
              <w:rPr>
                <w:rFonts w:ascii="Times New Roman" w:eastAsia="Times New Roman" w:hAnsi="Times New Roman" w:cs="Times New Roman"/>
                <w:sz w:val="24"/>
                <w:szCs w:val="24"/>
                <w:lang w:val="cs-CZ"/>
              </w:rPr>
              <w:t xml:space="preserve"> také</w:t>
            </w:r>
            <w:r w:rsidRPr="00CF5B13">
              <w:rPr>
                <w:rFonts w:ascii="Times New Roman" w:eastAsia="Times New Roman" w:hAnsi="Times New Roman" w:cs="Times New Roman"/>
                <w:sz w:val="24"/>
                <w:szCs w:val="24"/>
                <w:lang w:val="cs-CZ"/>
              </w:rPr>
              <w:t xml:space="preserve"> 13. dělostřelecký pluk (13.dp) v Jincích. V rámci návštěvy u 13.dp proběhla beseda zaměřená na rovné příležitosti a výměna zkušeností s vojákyněmi AČR. Souběžně s expertní delegací navštívila ČR ženská speciální jednotka Jordánských ozbrojených sil, která společně s Policií ČR předvedla dynamickou ukázku v rámci Dnů NATO 2022. </w:t>
            </w:r>
          </w:p>
          <w:p w:rsidR="004A79EC" w:rsidRPr="00CF5B13" w:rsidRDefault="004A79EC" w:rsidP="00016F1D">
            <w:pPr>
              <w:pStyle w:val="Odstavecseseznamem"/>
              <w:numPr>
                <w:ilvl w:val="0"/>
                <w:numId w:val="23"/>
              </w:numPr>
              <w:spacing w:before="240"/>
              <w:ind w:left="1003"/>
              <w:jc w:val="both"/>
              <w:rPr>
                <w:rFonts w:ascii="Times New Roman" w:eastAsia="Times New Roman" w:hAnsi="Times New Roman" w:cs="Times New Roman"/>
                <w:sz w:val="24"/>
                <w:szCs w:val="24"/>
                <w:lang w:val="cs-CZ"/>
              </w:rPr>
            </w:pPr>
            <w:r w:rsidRPr="00CF5B13">
              <w:rPr>
                <w:rFonts w:ascii="Times New Roman" w:hAnsi="Times New Roman" w:cs="Times New Roman"/>
                <w:b/>
                <w:sz w:val="24"/>
                <w:szCs w:val="24"/>
                <w:u w:val="single"/>
                <w:lang w:val="cs-CZ"/>
              </w:rPr>
              <w:t>Ministerstvo zahraničí</w:t>
            </w:r>
          </w:p>
          <w:p w:rsidR="004A79EC" w:rsidRPr="00CF5B13" w:rsidRDefault="00016F1D" w:rsidP="00016F1D">
            <w:pPr>
              <w:spacing w:before="120"/>
              <w:jc w:val="both"/>
              <w:rPr>
                <w:rFonts w:ascii="Times New Roman" w:eastAsia="Times New Roman" w:hAnsi="Times New Roman" w:cs="Times New Roman"/>
                <w:sz w:val="24"/>
                <w:szCs w:val="24"/>
                <w:lang w:val="cs-CZ"/>
              </w:rPr>
            </w:pPr>
            <w:r w:rsidRPr="00CF5B13">
              <w:rPr>
                <w:rFonts w:ascii="Times New Roman" w:eastAsia="Times New Roman" w:hAnsi="Times New Roman" w:cs="Times New Roman"/>
                <w:sz w:val="24"/>
                <w:szCs w:val="24"/>
                <w:lang w:val="cs-CZ"/>
              </w:rPr>
              <w:t>Implementace agendy WPS je od r. 2019 zahrnuta do identifikace malých lokálních projektů zahraniční rozvojové spolupráce</w:t>
            </w:r>
            <w:r w:rsidR="00C56A44" w:rsidRPr="00CF5B13">
              <w:rPr>
                <w:rFonts w:ascii="Times New Roman" w:eastAsia="Times New Roman" w:hAnsi="Times New Roman" w:cs="Times New Roman"/>
                <w:sz w:val="24"/>
                <w:szCs w:val="24"/>
                <w:lang w:val="cs-CZ"/>
              </w:rPr>
              <w:t>, které jsou realizovány zastupitelskými úřady ČR</w:t>
            </w:r>
            <w:r w:rsidRPr="00CF5B13">
              <w:rPr>
                <w:rFonts w:ascii="Times New Roman" w:eastAsia="Times New Roman" w:hAnsi="Times New Roman" w:cs="Times New Roman"/>
                <w:sz w:val="24"/>
                <w:szCs w:val="24"/>
                <w:lang w:val="cs-CZ"/>
              </w:rPr>
              <w:t>.</w:t>
            </w:r>
          </w:p>
          <w:p w:rsidR="00016F1D" w:rsidRPr="00CF5B13" w:rsidRDefault="00016F1D" w:rsidP="0044160F">
            <w:pPr>
              <w:spacing w:line="259" w:lineRule="auto"/>
              <w:jc w:val="both"/>
              <w:rPr>
                <w:rFonts w:ascii="Times New Roman" w:hAnsi="Times New Roman" w:cs="Times New Roman"/>
                <w:sz w:val="24"/>
                <w:szCs w:val="24"/>
                <w:lang w:val="cs-CZ"/>
              </w:rPr>
            </w:pPr>
          </w:p>
        </w:tc>
      </w:tr>
      <w:tr w:rsidR="0044160F" w:rsidRPr="00412C4E" w:rsidTr="00D0567C">
        <w:tc>
          <w:tcPr>
            <w:tcW w:w="6799" w:type="dxa"/>
          </w:tcPr>
          <w:p w:rsidR="0044160F" w:rsidRPr="00CF5B13" w:rsidRDefault="00C56A44" w:rsidP="0044160F">
            <w:pPr>
              <w:jc w:val="both"/>
              <w:rPr>
                <w:rFonts w:ascii="Times New Roman" w:eastAsia="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t xml:space="preserve">2.13 </w:t>
            </w:r>
            <w:r w:rsidR="0044160F" w:rsidRPr="00CF5B13">
              <w:rPr>
                <w:rFonts w:ascii="Times New Roman" w:eastAsia="Times New Roman" w:hAnsi="Times New Roman" w:cs="Times New Roman"/>
                <w:b/>
                <w:color w:val="4472C4" w:themeColor="accent5"/>
                <w:sz w:val="24"/>
                <w:szCs w:val="24"/>
                <w:lang w:val="cs-CZ"/>
              </w:rPr>
              <w:t xml:space="preserve">Organizovat každoroční konference na téma genderové rovnosti v zahraniční politice a WPS. </w:t>
            </w:r>
          </w:p>
          <w:p w:rsidR="0044160F" w:rsidRPr="00CF5B13" w:rsidRDefault="0044160F" w:rsidP="0044160F">
            <w:pPr>
              <w:jc w:val="both"/>
              <w:rPr>
                <w:rFonts w:ascii="Times New Roman" w:hAnsi="Times New Roman" w:cs="Times New Roman"/>
                <w:b/>
                <w:sz w:val="24"/>
                <w:szCs w:val="24"/>
                <w:lang w:val="cs-CZ"/>
              </w:rPr>
            </w:pPr>
            <w:r w:rsidRPr="00CF5B13">
              <w:rPr>
                <w:rFonts w:ascii="Times New Roman" w:eastAsia="Times New Roman" w:hAnsi="Times New Roman" w:cs="Times New Roman"/>
                <w:b/>
                <w:color w:val="4472C4" w:themeColor="accent5"/>
                <w:sz w:val="24"/>
                <w:szCs w:val="24"/>
                <w:lang w:val="cs-CZ"/>
              </w:rPr>
              <w:t>(MZV/ÚV, NNO, akademická obec)</w:t>
            </w:r>
          </w:p>
        </w:tc>
        <w:tc>
          <w:tcPr>
            <w:tcW w:w="3402" w:type="dxa"/>
          </w:tcPr>
          <w:p w:rsidR="00AC23C6" w:rsidRPr="00CF5B13" w:rsidRDefault="0044160F" w:rsidP="00AC23C6">
            <w:pPr>
              <w:rPr>
                <w:rFonts w:ascii="Times New Roman" w:eastAsia="Times New Roman" w:hAnsi="Times New Roman" w:cs="Times New Roman"/>
                <w:b/>
                <w:color w:val="4472C4" w:themeColor="accent5"/>
                <w:sz w:val="24"/>
                <w:szCs w:val="24"/>
                <w:lang w:val="cs-CZ"/>
              </w:rPr>
            </w:pPr>
            <w:r w:rsidRPr="00CF5B13">
              <w:rPr>
                <w:rFonts w:ascii="Times New Roman" w:hAnsi="Times New Roman" w:cs="Times New Roman"/>
                <w:b/>
                <w:color w:val="4472C4" w:themeColor="accent5"/>
                <w:sz w:val="24"/>
                <w:szCs w:val="24"/>
                <w:lang w:val="cs-CZ"/>
              </w:rPr>
              <w:t xml:space="preserve"> </w:t>
            </w:r>
            <w:r w:rsidR="00AC23C6" w:rsidRPr="00CF5B13">
              <w:rPr>
                <w:rFonts w:ascii="Times New Roman" w:eastAsia="Times New Roman" w:hAnsi="Times New Roman" w:cs="Times New Roman"/>
                <w:b/>
                <w:color w:val="4472C4" w:themeColor="accent5"/>
                <w:sz w:val="24"/>
                <w:szCs w:val="24"/>
                <w:lang w:val="cs-CZ"/>
              </w:rPr>
              <w:t>Prozatím nesplněno</w:t>
            </w:r>
          </w:p>
          <w:p w:rsidR="0044160F" w:rsidRPr="00CF5B13" w:rsidRDefault="00AC23C6" w:rsidP="00AC23C6">
            <w:pPr>
              <w:rPr>
                <w:rFonts w:ascii="Times New Roman" w:hAnsi="Times New Roman" w:cs="Times New Roman"/>
                <w:sz w:val="24"/>
                <w:szCs w:val="24"/>
                <w:lang w:val="cs-CZ"/>
              </w:rPr>
            </w:pPr>
            <w:r w:rsidRPr="00CF5B13">
              <w:rPr>
                <w:rFonts w:ascii="Times New Roman" w:eastAsia="Times New Roman" w:hAnsi="Times New Roman" w:cs="Times New Roman"/>
                <w:color w:val="4472C4" w:themeColor="accent5"/>
                <w:sz w:val="24"/>
                <w:szCs w:val="24"/>
                <w:lang w:val="cs-CZ"/>
              </w:rPr>
              <w:t>Plnění proběhne v následujícím období</w:t>
            </w:r>
          </w:p>
        </w:tc>
      </w:tr>
      <w:tr w:rsidR="0044160F" w:rsidRPr="00412C4E" w:rsidTr="00F538C7">
        <w:tc>
          <w:tcPr>
            <w:tcW w:w="10201" w:type="dxa"/>
            <w:gridSpan w:val="2"/>
          </w:tcPr>
          <w:p w:rsidR="0044160F" w:rsidRDefault="0044160F" w:rsidP="0093531B">
            <w:pPr>
              <w:spacing w:before="120"/>
              <w:jc w:val="both"/>
              <w:rPr>
                <w:rFonts w:ascii="Times New Roman" w:hAnsi="Times New Roman" w:cs="Times New Roman"/>
                <w:sz w:val="24"/>
                <w:szCs w:val="24"/>
                <w:lang w:val="cs-CZ"/>
              </w:rPr>
            </w:pPr>
            <w:r w:rsidRPr="00CF5B13">
              <w:rPr>
                <w:rFonts w:ascii="Times New Roman" w:hAnsi="Times New Roman" w:cs="Times New Roman"/>
                <w:sz w:val="24"/>
                <w:szCs w:val="24"/>
                <w:lang w:val="cs-CZ"/>
              </w:rPr>
              <w:t xml:space="preserve"> </w:t>
            </w:r>
            <w:r w:rsidR="00AC23C6" w:rsidRPr="00CF5B13">
              <w:rPr>
                <w:rFonts w:ascii="Times New Roman" w:hAnsi="Times New Roman" w:cs="Times New Roman"/>
                <w:sz w:val="24"/>
                <w:szCs w:val="24"/>
                <w:lang w:val="cs-CZ"/>
              </w:rPr>
              <w:t>Konference na téma genderové rovnosti v zahraniční politice a WPS nebyla v roce 2022 zorganizována.</w:t>
            </w:r>
          </w:p>
          <w:p w:rsidR="00566AF7" w:rsidRDefault="00566AF7" w:rsidP="00566AF7">
            <w:pPr>
              <w:spacing w:before="120"/>
              <w:jc w:val="both"/>
              <w:rPr>
                <w:rFonts w:ascii="Times New Roman" w:hAnsi="Times New Roman" w:cs="Times New Roman"/>
                <w:sz w:val="24"/>
                <w:szCs w:val="24"/>
                <w:lang w:val="cs-CZ"/>
              </w:rPr>
            </w:pPr>
            <w:r w:rsidRPr="00566AF7">
              <w:rPr>
                <w:rFonts w:ascii="Times New Roman" w:hAnsi="Times New Roman" w:cs="Times New Roman"/>
                <w:sz w:val="24"/>
                <w:szCs w:val="24"/>
                <w:lang w:val="cs-CZ"/>
              </w:rPr>
              <w:t xml:space="preserve">V souvislosti s tématem genderové perspektivy obnovy Ukrajiny proběhla </w:t>
            </w:r>
            <w:r>
              <w:rPr>
                <w:rFonts w:ascii="Times New Roman" w:hAnsi="Times New Roman" w:cs="Times New Roman"/>
                <w:sz w:val="24"/>
                <w:szCs w:val="24"/>
                <w:lang w:val="cs-CZ"/>
              </w:rPr>
              <w:t xml:space="preserve">dne </w:t>
            </w:r>
            <w:r w:rsidRPr="00566AF7">
              <w:rPr>
                <w:rFonts w:ascii="Times New Roman" w:hAnsi="Times New Roman" w:cs="Times New Roman"/>
                <w:sz w:val="24"/>
                <w:szCs w:val="24"/>
                <w:lang w:val="cs-CZ"/>
              </w:rPr>
              <w:t>8. 11. 2022 veřejná debata</w:t>
            </w:r>
            <w:r>
              <w:rPr>
                <w:rFonts w:ascii="Times New Roman" w:hAnsi="Times New Roman" w:cs="Times New Roman"/>
                <w:sz w:val="24"/>
                <w:szCs w:val="24"/>
                <w:lang w:val="cs-CZ"/>
              </w:rPr>
              <w:t xml:space="preserve"> </w:t>
            </w:r>
            <w:r w:rsidRPr="00C92440">
              <w:rPr>
                <w:rFonts w:ascii="Times New Roman" w:hAnsi="Times New Roman" w:cs="Times New Roman"/>
                <w:i/>
                <w:sz w:val="24"/>
                <w:szCs w:val="24"/>
                <w:lang w:val="cs-CZ"/>
              </w:rPr>
              <w:t>Transnational Feminist Solidarity with Ukraine’s Resistance and Recovery</w:t>
            </w:r>
            <w:r w:rsidR="00F6570C">
              <w:rPr>
                <w:rStyle w:val="Znakapoznpodarou"/>
                <w:rFonts w:ascii="Times New Roman" w:hAnsi="Times New Roman" w:cs="Times New Roman"/>
                <w:i/>
                <w:sz w:val="24"/>
                <w:szCs w:val="24"/>
                <w:lang w:val="cs-CZ"/>
              </w:rPr>
              <w:footnoteReference w:id="3"/>
            </w:r>
            <w:r>
              <w:rPr>
                <w:rFonts w:ascii="Times New Roman" w:hAnsi="Times New Roman" w:cs="Times New Roman"/>
                <w:sz w:val="24"/>
                <w:szCs w:val="24"/>
                <w:lang w:val="cs-CZ"/>
              </w:rPr>
              <w:t xml:space="preserve">, </w:t>
            </w:r>
            <w:r w:rsidRPr="00566AF7">
              <w:rPr>
                <w:rFonts w:ascii="Times New Roman" w:hAnsi="Times New Roman" w:cs="Times New Roman"/>
                <w:sz w:val="24"/>
                <w:szCs w:val="24"/>
                <w:lang w:val="cs-CZ"/>
              </w:rPr>
              <w:t>kterou pořádala Genderová expertní komora ČR za účasti programov</w:t>
            </w:r>
            <w:r>
              <w:rPr>
                <w:rFonts w:ascii="Times New Roman" w:hAnsi="Times New Roman" w:cs="Times New Roman"/>
                <w:sz w:val="24"/>
                <w:szCs w:val="24"/>
                <w:lang w:val="cs-CZ"/>
              </w:rPr>
              <w:t>é ředitelky</w:t>
            </w:r>
            <w:r w:rsidRPr="00566AF7">
              <w:rPr>
                <w:rFonts w:ascii="Times New Roman" w:hAnsi="Times New Roman" w:cs="Times New Roman"/>
                <w:sz w:val="24"/>
                <w:szCs w:val="24"/>
                <w:lang w:val="cs-CZ"/>
              </w:rPr>
              <w:t xml:space="preserve"> Sdružení pro integraci a migraci, ukrajinsk</w:t>
            </w:r>
            <w:r>
              <w:rPr>
                <w:rFonts w:ascii="Times New Roman" w:hAnsi="Times New Roman" w:cs="Times New Roman"/>
                <w:sz w:val="24"/>
                <w:szCs w:val="24"/>
                <w:lang w:val="cs-CZ"/>
              </w:rPr>
              <w:t>é</w:t>
            </w:r>
            <w:r w:rsidRPr="00566AF7">
              <w:rPr>
                <w:rFonts w:ascii="Times New Roman" w:hAnsi="Times New Roman" w:cs="Times New Roman"/>
                <w:sz w:val="24"/>
                <w:szCs w:val="24"/>
                <w:lang w:val="cs-CZ"/>
              </w:rPr>
              <w:t xml:space="preserve"> socioložk</w:t>
            </w:r>
            <w:r>
              <w:rPr>
                <w:rFonts w:ascii="Times New Roman" w:hAnsi="Times New Roman" w:cs="Times New Roman"/>
                <w:sz w:val="24"/>
                <w:szCs w:val="24"/>
                <w:lang w:val="cs-CZ"/>
              </w:rPr>
              <w:t>y</w:t>
            </w:r>
            <w:r w:rsidRPr="00566AF7">
              <w:rPr>
                <w:rFonts w:ascii="Times New Roman" w:hAnsi="Times New Roman" w:cs="Times New Roman"/>
                <w:sz w:val="24"/>
                <w:szCs w:val="24"/>
                <w:lang w:val="cs-CZ"/>
              </w:rPr>
              <w:t>, ukrajinsk</w:t>
            </w:r>
            <w:r>
              <w:rPr>
                <w:rFonts w:ascii="Times New Roman" w:hAnsi="Times New Roman" w:cs="Times New Roman"/>
                <w:sz w:val="24"/>
                <w:szCs w:val="24"/>
                <w:lang w:val="cs-CZ"/>
              </w:rPr>
              <w:t>é</w:t>
            </w:r>
            <w:r w:rsidRPr="00566AF7">
              <w:rPr>
                <w:rFonts w:ascii="Times New Roman" w:hAnsi="Times New Roman" w:cs="Times New Roman"/>
                <w:sz w:val="24"/>
                <w:szCs w:val="24"/>
                <w:lang w:val="cs-CZ"/>
              </w:rPr>
              <w:t xml:space="preserve"> aktivistk</w:t>
            </w:r>
            <w:r>
              <w:rPr>
                <w:rFonts w:ascii="Times New Roman" w:hAnsi="Times New Roman" w:cs="Times New Roman"/>
                <w:sz w:val="24"/>
                <w:szCs w:val="24"/>
                <w:lang w:val="cs-CZ"/>
              </w:rPr>
              <w:t>y</w:t>
            </w:r>
            <w:r w:rsidRPr="00566AF7">
              <w:rPr>
                <w:rFonts w:ascii="Times New Roman" w:hAnsi="Times New Roman" w:cs="Times New Roman"/>
                <w:sz w:val="24"/>
                <w:szCs w:val="24"/>
                <w:lang w:val="cs-CZ"/>
              </w:rPr>
              <w:t xml:space="preserve"> a žurnalist</w:t>
            </w:r>
            <w:r>
              <w:rPr>
                <w:rFonts w:ascii="Times New Roman" w:hAnsi="Times New Roman" w:cs="Times New Roman"/>
                <w:sz w:val="24"/>
                <w:szCs w:val="24"/>
                <w:lang w:val="cs-CZ"/>
              </w:rPr>
              <w:t>y.</w:t>
            </w:r>
          </w:p>
          <w:p w:rsidR="00350D6C" w:rsidRDefault="00350D6C" w:rsidP="00C92440">
            <w:pPr>
              <w:spacing w:before="120"/>
              <w:jc w:val="both"/>
              <w:rPr>
                <w:rFonts w:ascii="Times New Roman" w:hAnsi="Times New Roman" w:cs="Times New Roman"/>
                <w:sz w:val="24"/>
                <w:szCs w:val="24"/>
                <w:lang w:val="cs-CZ"/>
              </w:rPr>
            </w:pPr>
            <w:r>
              <w:rPr>
                <w:rFonts w:ascii="Times New Roman" w:hAnsi="Times New Roman" w:cs="Times New Roman"/>
                <w:sz w:val="24"/>
                <w:szCs w:val="24"/>
                <w:lang w:val="cs-CZ"/>
              </w:rPr>
              <w:t xml:space="preserve">Souhrn aktivit akademického sektoru k </w:t>
            </w:r>
            <w:r w:rsidRPr="00CF5B13">
              <w:rPr>
                <w:rFonts w:ascii="Times New Roman" w:hAnsi="Times New Roman" w:cs="Times New Roman"/>
                <w:sz w:val="24"/>
                <w:szCs w:val="24"/>
                <w:lang w:val="cs-CZ"/>
              </w:rPr>
              <w:t>téma</w:t>
            </w:r>
            <w:r>
              <w:rPr>
                <w:rFonts w:ascii="Times New Roman" w:hAnsi="Times New Roman" w:cs="Times New Roman"/>
                <w:sz w:val="24"/>
                <w:szCs w:val="24"/>
                <w:lang w:val="cs-CZ"/>
              </w:rPr>
              <w:t>tu</w:t>
            </w:r>
            <w:r w:rsidRPr="00CF5B13">
              <w:rPr>
                <w:rFonts w:ascii="Times New Roman" w:hAnsi="Times New Roman" w:cs="Times New Roman"/>
                <w:sz w:val="24"/>
                <w:szCs w:val="24"/>
                <w:lang w:val="cs-CZ"/>
              </w:rPr>
              <w:t xml:space="preserve"> genderové rovnosti v zahraniční politice a WPS v roce 2022</w:t>
            </w:r>
            <w:r>
              <w:rPr>
                <w:rFonts w:ascii="Times New Roman" w:hAnsi="Times New Roman" w:cs="Times New Roman"/>
                <w:sz w:val="24"/>
                <w:szCs w:val="24"/>
                <w:lang w:val="cs-CZ"/>
              </w:rPr>
              <w:t>:</w:t>
            </w:r>
          </w:p>
          <w:p w:rsidR="00350D6C" w:rsidRPr="00412C4E" w:rsidRDefault="00350D6C" w:rsidP="00C92440">
            <w:pPr>
              <w:pStyle w:val="Odstavecseseznamem"/>
              <w:numPr>
                <w:ilvl w:val="0"/>
                <w:numId w:val="27"/>
              </w:numPr>
              <w:spacing w:before="120" w:after="160" w:line="259" w:lineRule="auto"/>
              <w:jc w:val="both"/>
              <w:rPr>
                <w:rFonts w:asciiTheme="majorBidi" w:hAnsiTheme="majorBidi" w:cstheme="majorBidi"/>
                <w:sz w:val="24"/>
                <w:szCs w:val="24"/>
                <w:lang w:val="cs-CZ"/>
              </w:rPr>
            </w:pPr>
            <w:r w:rsidRPr="008F13CE">
              <w:rPr>
                <w:rFonts w:asciiTheme="majorBidi" w:hAnsiTheme="majorBidi" w:cstheme="majorBidi"/>
                <w:sz w:val="24"/>
                <w:szCs w:val="24"/>
                <w:lang w:val="cs-CZ"/>
              </w:rPr>
              <w:t xml:space="preserve">výzkumný grant od British Academy nazvaný „Regional Cultures and Challenges: Implementation of UN’s Women, Peace and Security Agenda (WPS) in Central and Eastern Europe (CEE) pro </w:t>
            </w:r>
            <w:r w:rsidR="00C92440">
              <w:rPr>
                <w:rFonts w:asciiTheme="majorBidi" w:hAnsiTheme="majorBidi" w:cstheme="majorBidi"/>
                <w:sz w:val="24"/>
                <w:szCs w:val="24"/>
                <w:lang w:val="cs-CZ"/>
              </w:rPr>
              <w:t xml:space="preserve">vědecké pracovnice </w:t>
            </w:r>
            <w:r w:rsidRPr="008F13CE">
              <w:rPr>
                <w:rFonts w:asciiTheme="majorBidi" w:hAnsiTheme="majorBidi" w:cstheme="majorBidi"/>
                <w:sz w:val="24"/>
                <w:szCs w:val="24"/>
                <w:lang w:val="cs-CZ"/>
              </w:rPr>
              <w:t>Nottingham Trent University a Ústav</w:t>
            </w:r>
            <w:r w:rsidR="00C92440">
              <w:rPr>
                <w:rFonts w:asciiTheme="majorBidi" w:hAnsiTheme="majorBidi" w:cstheme="majorBidi"/>
                <w:sz w:val="24"/>
                <w:szCs w:val="24"/>
                <w:lang w:val="cs-CZ"/>
              </w:rPr>
              <w:t>u</w:t>
            </w:r>
            <w:r w:rsidRPr="008F13CE">
              <w:rPr>
                <w:rFonts w:asciiTheme="majorBidi" w:hAnsiTheme="majorBidi" w:cstheme="majorBidi"/>
                <w:sz w:val="24"/>
                <w:szCs w:val="24"/>
                <w:lang w:val="cs-CZ"/>
              </w:rPr>
              <w:t xml:space="preserve"> mezinárodních </w:t>
            </w:r>
            <w:r w:rsidRPr="008F13CE">
              <w:rPr>
                <w:rFonts w:asciiTheme="majorBidi" w:hAnsiTheme="majorBidi" w:cstheme="majorBidi"/>
                <w:sz w:val="24"/>
                <w:szCs w:val="24"/>
                <w:lang w:val="cs-CZ"/>
              </w:rPr>
              <w:lastRenderedPageBreak/>
              <w:t>vztahů. V rámci gra</w:t>
            </w:r>
            <w:r>
              <w:rPr>
                <w:rFonts w:asciiTheme="majorBidi" w:hAnsiTheme="majorBidi" w:cstheme="majorBidi"/>
                <w:sz w:val="24"/>
                <w:szCs w:val="24"/>
                <w:lang w:val="cs-CZ"/>
              </w:rPr>
              <w:t>n</w:t>
            </w:r>
            <w:r w:rsidRPr="008F13CE">
              <w:rPr>
                <w:rFonts w:asciiTheme="majorBidi" w:hAnsiTheme="majorBidi" w:cstheme="majorBidi"/>
                <w:sz w:val="24"/>
                <w:szCs w:val="24"/>
                <w:lang w:val="cs-CZ"/>
              </w:rPr>
              <w:t>tu probíhá výzkum na implem</w:t>
            </w:r>
            <w:r w:rsidR="00D95F33">
              <w:rPr>
                <w:rFonts w:asciiTheme="majorBidi" w:hAnsiTheme="majorBidi" w:cstheme="majorBidi"/>
                <w:sz w:val="24"/>
                <w:szCs w:val="24"/>
                <w:lang w:val="cs-CZ"/>
              </w:rPr>
              <w:t>en</w:t>
            </w:r>
            <w:r w:rsidRPr="008F13CE">
              <w:rPr>
                <w:rFonts w:asciiTheme="majorBidi" w:hAnsiTheme="majorBidi" w:cstheme="majorBidi"/>
                <w:sz w:val="24"/>
                <w:szCs w:val="24"/>
                <w:lang w:val="cs-CZ"/>
              </w:rPr>
              <w:t xml:space="preserve">taci agendy WPS v ČR, Polsku, Slovensku a Rumunsko. </w:t>
            </w:r>
            <w:r w:rsidRPr="00412C4E">
              <w:rPr>
                <w:rFonts w:asciiTheme="majorBidi" w:hAnsiTheme="majorBidi" w:cstheme="majorBidi"/>
                <w:sz w:val="24"/>
                <w:szCs w:val="24"/>
                <w:lang w:val="cs-CZ"/>
              </w:rPr>
              <w:t xml:space="preserve">Grant je plněn v období 2022 - 2024. </w:t>
            </w:r>
          </w:p>
          <w:p w:rsidR="00350D6C" w:rsidRPr="008F13CE" w:rsidRDefault="00350D6C" w:rsidP="00C92440">
            <w:pPr>
              <w:pStyle w:val="Odstavecseseznamem"/>
              <w:numPr>
                <w:ilvl w:val="0"/>
                <w:numId w:val="27"/>
              </w:numPr>
              <w:spacing w:before="120" w:after="160" w:line="259" w:lineRule="auto"/>
              <w:jc w:val="both"/>
              <w:rPr>
                <w:rFonts w:ascii="Times New Roman" w:hAnsi="Times New Roman" w:cs="Times New Roman"/>
                <w:sz w:val="24"/>
                <w:szCs w:val="24"/>
                <w:lang w:val="cs-CZ"/>
              </w:rPr>
            </w:pPr>
            <w:r>
              <w:rPr>
                <w:rFonts w:ascii="Times New Roman" w:hAnsi="Times New Roman" w:cs="Times New Roman"/>
                <w:sz w:val="24"/>
                <w:szCs w:val="24"/>
                <w:lang w:val="cs-CZ"/>
              </w:rPr>
              <w:t>ú</w:t>
            </w:r>
            <w:r w:rsidRPr="008F13CE">
              <w:rPr>
                <w:rFonts w:ascii="Times New Roman" w:hAnsi="Times New Roman" w:cs="Times New Roman"/>
                <w:sz w:val="24"/>
                <w:szCs w:val="24"/>
                <w:lang w:val="cs-CZ"/>
              </w:rPr>
              <w:t xml:space="preserve">čast </w:t>
            </w:r>
            <w:r w:rsidR="00C92440">
              <w:rPr>
                <w:rFonts w:ascii="Times New Roman" w:hAnsi="Times New Roman" w:cs="Times New Roman"/>
                <w:sz w:val="24"/>
                <w:szCs w:val="24"/>
                <w:lang w:val="cs-CZ"/>
              </w:rPr>
              <w:t xml:space="preserve">expertky na agendu WPS </w:t>
            </w:r>
            <w:r w:rsidR="00C92440" w:rsidRPr="008F13CE">
              <w:rPr>
                <w:rFonts w:asciiTheme="majorBidi" w:hAnsiTheme="majorBidi" w:cstheme="majorBidi"/>
                <w:sz w:val="24"/>
                <w:szCs w:val="24"/>
                <w:lang w:val="cs-CZ"/>
              </w:rPr>
              <w:t>Nottingham Trent University</w:t>
            </w:r>
            <w:r w:rsidRPr="008F13CE">
              <w:rPr>
                <w:rFonts w:ascii="Times New Roman" w:hAnsi="Times New Roman" w:cs="Times New Roman"/>
                <w:sz w:val="24"/>
                <w:szCs w:val="24"/>
                <w:lang w:val="cs-CZ"/>
              </w:rPr>
              <w:t xml:space="preserve"> na konferenci na Royal Military Academy Sanhurst na téma Women, Peace and Security v únoru 2022. Publikace z této konference vyšla v lednu 2023</w:t>
            </w:r>
            <w:r w:rsidR="00302CA4">
              <w:rPr>
                <w:rStyle w:val="Znakapoznpodarou"/>
                <w:rFonts w:ascii="Times New Roman" w:hAnsi="Times New Roman" w:cs="Times New Roman"/>
                <w:sz w:val="24"/>
                <w:szCs w:val="24"/>
                <w:lang w:val="cs-CZ"/>
              </w:rPr>
              <w:footnoteReference w:id="4"/>
            </w:r>
            <w:r w:rsidR="00302CA4">
              <w:rPr>
                <w:rFonts w:ascii="Times New Roman" w:hAnsi="Times New Roman" w:cs="Times New Roman"/>
                <w:sz w:val="24"/>
                <w:szCs w:val="24"/>
                <w:lang w:val="cs-CZ"/>
              </w:rPr>
              <w:t>.</w:t>
            </w:r>
          </w:p>
          <w:p w:rsidR="00350D6C" w:rsidRPr="008F13CE" w:rsidRDefault="00C92440" w:rsidP="00C92440">
            <w:pPr>
              <w:pStyle w:val="Odstavecseseznamem"/>
              <w:numPr>
                <w:ilvl w:val="0"/>
                <w:numId w:val="27"/>
              </w:numPr>
              <w:spacing w:after="160" w:line="259" w:lineRule="auto"/>
              <w:jc w:val="both"/>
              <w:rPr>
                <w:rFonts w:asciiTheme="majorBidi" w:hAnsiTheme="majorBidi" w:cstheme="majorBidi"/>
                <w:sz w:val="24"/>
                <w:szCs w:val="24"/>
                <w:lang w:val="cs-CZ"/>
              </w:rPr>
            </w:pPr>
            <w:r>
              <w:rPr>
                <w:rFonts w:asciiTheme="majorBidi" w:hAnsiTheme="majorBidi" w:cstheme="majorBidi"/>
                <w:sz w:val="24"/>
                <w:szCs w:val="24"/>
                <w:lang w:val="cs-CZ"/>
              </w:rPr>
              <w:t>zástupkyně akademického sektoru v Meziresortní pracovní skupině pro agendu WPS</w:t>
            </w:r>
            <w:r w:rsidR="00350D6C" w:rsidRPr="008F13CE">
              <w:rPr>
                <w:rFonts w:asciiTheme="majorBidi" w:hAnsiTheme="majorBidi" w:cstheme="majorBidi"/>
                <w:sz w:val="24"/>
                <w:szCs w:val="24"/>
                <w:lang w:val="cs-CZ"/>
              </w:rPr>
              <w:t xml:space="preserve"> publikovaly kapitolu, která se zabývá tématem produkce znalosti ve feministických bezpečnost</w:t>
            </w:r>
            <w:r w:rsidR="00441CAB">
              <w:rPr>
                <w:rFonts w:asciiTheme="majorBidi" w:hAnsiTheme="majorBidi" w:cstheme="majorBidi"/>
                <w:sz w:val="24"/>
                <w:szCs w:val="24"/>
                <w:lang w:val="cs-CZ"/>
              </w:rPr>
              <w:t>ních studiích včetně WPS</w:t>
            </w:r>
            <w:r w:rsidR="00441CAB">
              <w:rPr>
                <w:rStyle w:val="Znakapoznpodarou"/>
                <w:rFonts w:asciiTheme="majorBidi" w:hAnsiTheme="majorBidi" w:cstheme="majorBidi"/>
                <w:sz w:val="24"/>
                <w:szCs w:val="24"/>
                <w:lang w:val="cs-CZ"/>
              </w:rPr>
              <w:footnoteReference w:id="5"/>
            </w:r>
            <w:r w:rsidR="00441CAB">
              <w:rPr>
                <w:rFonts w:asciiTheme="majorBidi" w:hAnsiTheme="majorBidi" w:cstheme="majorBidi"/>
                <w:sz w:val="24"/>
                <w:szCs w:val="24"/>
                <w:lang w:val="cs-CZ"/>
              </w:rPr>
              <w:t>.</w:t>
            </w:r>
          </w:p>
          <w:p w:rsidR="00350D6C" w:rsidRPr="008F13CE" w:rsidRDefault="00C92440" w:rsidP="00C92440">
            <w:pPr>
              <w:pStyle w:val="Odstavecseseznamem"/>
              <w:numPr>
                <w:ilvl w:val="0"/>
                <w:numId w:val="27"/>
              </w:numPr>
              <w:spacing w:after="60" w:line="259" w:lineRule="auto"/>
              <w:jc w:val="both"/>
              <w:rPr>
                <w:rFonts w:asciiTheme="majorBidi" w:hAnsiTheme="majorBidi" w:cstheme="majorBidi"/>
                <w:sz w:val="24"/>
                <w:szCs w:val="24"/>
                <w:lang w:val="cs-CZ"/>
              </w:rPr>
            </w:pPr>
            <w:r>
              <w:rPr>
                <w:rFonts w:ascii="Times New Roman" w:hAnsi="Times New Roman" w:cs="Times New Roman"/>
                <w:sz w:val="24"/>
                <w:szCs w:val="24"/>
                <w:lang w:val="cs-CZ"/>
              </w:rPr>
              <w:t xml:space="preserve">expertka na agendu WPS </w:t>
            </w:r>
            <w:r w:rsidR="00350D6C" w:rsidRPr="008F13CE">
              <w:rPr>
                <w:rFonts w:asciiTheme="majorBidi" w:hAnsiTheme="majorBidi" w:cstheme="majorBidi"/>
                <w:sz w:val="24"/>
                <w:szCs w:val="24"/>
                <w:lang w:val="cs-CZ"/>
              </w:rPr>
              <w:t xml:space="preserve">ÚMV organizovala dvě akce k genderové dimenzi ruské invaze Ukrajiny: </w:t>
            </w:r>
          </w:p>
          <w:p w:rsidR="00350D6C" w:rsidRPr="00736F53" w:rsidRDefault="00350D6C" w:rsidP="00C92440">
            <w:pPr>
              <w:spacing w:after="60"/>
              <w:ind w:left="708"/>
              <w:jc w:val="both"/>
              <w:rPr>
                <w:rFonts w:asciiTheme="majorBidi" w:hAnsiTheme="majorBidi" w:cstheme="majorBidi"/>
                <w:sz w:val="24"/>
                <w:szCs w:val="24"/>
                <w:lang w:val="cs-CZ"/>
              </w:rPr>
            </w:pPr>
            <w:r w:rsidRPr="00736F53">
              <w:rPr>
                <w:rFonts w:asciiTheme="majorBidi" w:hAnsiTheme="majorBidi" w:cstheme="majorBidi"/>
                <w:sz w:val="24"/>
                <w:szCs w:val="24"/>
                <w:lang w:val="cs-CZ"/>
              </w:rPr>
              <w:t>Ukrainian Feminist´s Responses to the Russian Invasion (</w:t>
            </w:r>
            <w:r>
              <w:rPr>
                <w:rFonts w:asciiTheme="majorBidi" w:hAnsiTheme="majorBidi" w:cstheme="majorBidi"/>
                <w:sz w:val="24"/>
                <w:szCs w:val="24"/>
                <w:lang w:val="cs-CZ"/>
              </w:rPr>
              <w:t>květen</w:t>
            </w:r>
            <w:r w:rsidRPr="00736F53">
              <w:rPr>
                <w:rFonts w:asciiTheme="majorBidi" w:hAnsiTheme="majorBidi" w:cstheme="majorBidi"/>
                <w:sz w:val="24"/>
                <w:szCs w:val="24"/>
                <w:lang w:val="cs-CZ"/>
              </w:rPr>
              <w:t xml:space="preserve"> 2022</w:t>
            </w:r>
            <w:r>
              <w:rPr>
                <w:rFonts w:asciiTheme="majorBidi" w:hAnsiTheme="majorBidi" w:cstheme="majorBidi"/>
                <w:sz w:val="24"/>
                <w:szCs w:val="24"/>
                <w:lang w:val="cs-CZ"/>
              </w:rPr>
              <w:t>, ÚMV ve spolupráci s Henrich Böll Stiftung</w:t>
            </w:r>
            <w:r w:rsidR="00441CAB">
              <w:rPr>
                <w:rFonts w:asciiTheme="majorBidi" w:hAnsiTheme="majorBidi" w:cstheme="majorBidi"/>
                <w:sz w:val="24"/>
                <w:szCs w:val="24"/>
                <w:lang w:val="cs-CZ"/>
              </w:rPr>
              <w:t>)</w:t>
            </w:r>
            <w:r w:rsidR="00441CAB">
              <w:rPr>
                <w:rStyle w:val="Znakapoznpodarou"/>
                <w:rFonts w:asciiTheme="majorBidi" w:hAnsiTheme="majorBidi" w:cstheme="majorBidi"/>
                <w:sz w:val="24"/>
                <w:szCs w:val="24"/>
                <w:lang w:val="cs-CZ"/>
              </w:rPr>
              <w:footnoteReference w:id="6"/>
            </w:r>
            <w:r w:rsidR="00441CAB">
              <w:rPr>
                <w:rFonts w:asciiTheme="majorBidi" w:hAnsiTheme="majorBidi" w:cstheme="majorBidi"/>
                <w:sz w:val="24"/>
                <w:szCs w:val="24"/>
                <w:lang w:val="cs-CZ"/>
              </w:rPr>
              <w:t>.</w:t>
            </w:r>
          </w:p>
          <w:p w:rsidR="00350D6C" w:rsidRDefault="00350D6C" w:rsidP="00C92440">
            <w:pPr>
              <w:spacing w:after="60"/>
              <w:ind w:left="708"/>
              <w:jc w:val="both"/>
              <w:rPr>
                <w:rFonts w:asciiTheme="majorBidi" w:hAnsiTheme="majorBidi" w:cstheme="majorBidi"/>
                <w:sz w:val="24"/>
                <w:szCs w:val="24"/>
                <w:lang w:val="cs-CZ"/>
              </w:rPr>
            </w:pPr>
            <w:r w:rsidRPr="00736F53">
              <w:rPr>
                <w:rFonts w:asciiTheme="majorBidi" w:hAnsiTheme="majorBidi" w:cstheme="majorBidi"/>
                <w:sz w:val="24"/>
                <w:szCs w:val="24"/>
                <w:lang w:val="cs-CZ"/>
              </w:rPr>
              <w:t>Transnational Feminist Solidarity with Ukraine’s Resistance and Recovery (</w:t>
            </w:r>
            <w:r>
              <w:rPr>
                <w:rFonts w:asciiTheme="majorBidi" w:hAnsiTheme="majorBidi" w:cstheme="majorBidi"/>
                <w:sz w:val="24"/>
                <w:szCs w:val="24"/>
                <w:lang w:val="cs-CZ"/>
              </w:rPr>
              <w:t>říjen</w:t>
            </w:r>
            <w:r w:rsidRPr="00736F53">
              <w:rPr>
                <w:rFonts w:asciiTheme="majorBidi" w:hAnsiTheme="majorBidi" w:cstheme="majorBidi"/>
                <w:sz w:val="24"/>
                <w:szCs w:val="24"/>
                <w:lang w:val="cs-CZ"/>
              </w:rPr>
              <w:t xml:space="preserve"> 2022</w:t>
            </w:r>
            <w:r>
              <w:rPr>
                <w:rFonts w:asciiTheme="majorBidi" w:hAnsiTheme="majorBidi" w:cstheme="majorBidi"/>
                <w:sz w:val="24"/>
                <w:szCs w:val="24"/>
                <w:lang w:val="cs-CZ"/>
              </w:rPr>
              <w:t>, ve spolupráci s GEK ČR, SÚ AV ČR)</w:t>
            </w:r>
          </w:p>
          <w:p w:rsidR="00350D6C" w:rsidRPr="00C92440" w:rsidRDefault="00052DFE" w:rsidP="00C92440">
            <w:pPr>
              <w:pStyle w:val="Odstavecseseznamem"/>
              <w:numPr>
                <w:ilvl w:val="0"/>
                <w:numId w:val="28"/>
              </w:numPr>
              <w:jc w:val="both"/>
              <w:rPr>
                <w:rFonts w:ascii="Times New Roman" w:hAnsi="Times New Roman" w:cs="Times New Roman"/>
                <w:sz w:val="24"/>
                <w:szCs w:val="24"/>
                <w:lang w:val="cs-CZ"/>
              </w:rPr>
            </w:pPr>
            <w:r>
              <w:rPr>
                <w:rFonts w:ascii="Times New Roman" w:hAnsi="Times New Roman" w:cs="Times New Roman"/>
                <w:sz w:val="24"/>
                <w:szCs w:val="24"/>
                <w:lang w:val="cs-CZ"/>
              </w:rPr>
              <w:t xml:space="preserve">expertka na agendu WPS </w:t>
            </w:r>
            <w:r w:rsidRPr="008F13CE">
              <w:rPr>
                <w:rFonts w:asciiTheme="majorBidi" w:hAnsiTheme="majorBidi" w:cstheme="majorBidi"/>
                <w:sz w:val="24"/>
                <w:szCs w:val="24"/>
                <w:lang w:val="cs-CZ"/>
              </w:rPr>
              <w:t xml:space="preserve">ÚMV </w:t>
            </w:r>
            <w:r w:rsidR="00350D6C" w:rsidRPr="008F13CE">
              <w:rPr>
                <w:rFonts w:ascii="Times New Roman" w:hAnsi="Times New Roman" w:cs="Times New Roman"/>
                <w:sz w:val="24"/>
                <w:szCs w:val="24"/>
                <w:lang w:val="cs-CZ"/>
              </w:rPr>
              <w:t xml:space="preserve">se zúčastnila výroční konference Výboru NATO pro genderové perspektivy v říjnu 2022 v Bruselu. </w:t>
            </w:r>
            <w:r w:rsidR="00350D6C">
              <w:rPr>
                <w:rFonts w:ascii="Times New Roman" w:hAnsi="Times New Roman" w:cs="Times New Roman"/>
                <w:sz w:val="24"/>
                <w:szCs w:val="24"/>
                <w:lang w:val="cs-CZ"/>
              </w:rPr>
              <w:t>Dále v roce 2022</w:t>
            </w:r>
            <w:r w:rsidR="00350D6C" w:rsidRPr="008F13CE">
              <w:rPr>
                <w:rFonts w:ascii="Times New Roman" w:hAnsi="Times New Roman" w:cs="Times New Roman"/>
                <w:sz w:val="24"/>
                <w:szCs w:val="24"/>
                <w:lang w:val="cs-CZ"/>
              </w:rPr>
              <w:t xml:space="preserve"> publikovala několik popularizačních textů v češtině a angličtině k genderu, WPS a ruské agresi vůči Ukrajině</w:t>
            </w:r>
            <w:r w:rsidR="00350D6C">
              <w:rPr>
                <w:rFonts w:ascii="Times New Roman" w:hAnsi="Times New Roman" w:cs="Times New Roman"/>
                <w:sz w:val="24"/>
                <w:szCs w:val="24"/>
                <w:lang w:val="cs-CZ"/>
              </w:rPr>
              <w:t>.</w:t>
            </w:r>
          </w:p>
          <w:p w:rsidR="00AC23C6" w:rsidRPr="00CF5B13" w:rsidRDefault="00AC23C6" w:rsidP="0044160F">
            <w:pPr>
              <w:jc w:val="both"/>
              <w:rPr>
                <w:rFonts w:ascii="Times New Roman" w:hAnsi="Times New Roman" w:cs="Times New Roman"/>
                <w:sz w:val="24"/>
                <w:szCs w:val="24"/>
                <w:lang w:val="cs-CZ"/>
              </w:rPr>
            </w:pPr>
          </w:p>
        </w:tc>
      </w:tr>
      <w:tr w:rsidR="0044160F" w:rsidRPr="00CF5B13" w:rsidTr="00D0567C">
        <w:tc>
          <w:tcPr>
            <w:tcW w:w="6799" w:type="dxa"/>
          </w:tcPr>
          <w:p w:rsidR="0044160F" w:rsidRPr="00CF5B13" w:rsidRDefault="0044160F" w:rsidP="0044160F">
            <w:pPr>
              <w:jc w:val="both"/>
              <w:rPr>
                <w:rFonts w:ascii="Times New Roman" w:eastAsia="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lastRenderedPageBreak/>
              <w:t>2.1</w:t>
            </w:r>
            <w:r w:rsidR="00C56A44" w:rsidRPr="00CF5B13">
              <w:rPr>
                <w:rFonts w:ascii="Times New Roman" w:eastAsia="Times New Roman" w:hAnsi="Times New Roman" w:cs="Times New Roman"/>
                <w:b/>
                <w:color w:val="4472C4" w:themeColor="accent5"/>
                <w:sz w:val="24"/>
                <w:szCs w:val="24"/>
                <w:lang w:val="cs-CZ"/>
              </w:rPr>
              <w:t>4</w:t>
            </w:r>
            <w:r w:rsidRPr="00CF5B13">
              <w:rPr>
                <w:rFonts w:ascii="Times New Roman" w:eastAsia="Times New Roman" w:hAnsi="Times New Roman" w:cs="Times New Roman"/>
                <w:b/>
                <w:color w:val="4472C4" w:themeColor="accent5"/>
                <w:sz w:val="24"/>
                <w:szCs w:val="24"/>
                <w:lang w:val="cs-CZ"/>
              </w:rPr>
              <w:t xml:space="preserve"> Vytvoření webové stránky k tématice WPS. </w:t>
            </w:r>
          </w:p>
          <w:p w:rsidR="0044160F" w:rsidRPr="00CF5B13" w:rsidRDefault="0044160F" w:rsidP="0093531B">
            <w:pPr>
              <w:spacing w:after="120"/>
              <w:jc w:val="both"/>
              <w:rPr>
                <w:rFonts w:ascii="Times New Roman" w:eastAsia="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t>(MZV)</w:t>
            </w:r>
          </w:p>
        </w:tc>
        <w:tc>
          <w:tcPr>
            <w:tcW w:w="3402" w:type="dxa"/>
          </w:tcPr>
          <w:p w:rsidR="0044160F" w:rsidRPr="00CF5B13" w:rsidRDefault="0044160F" w:rsidP="0044160F">
            <w:pPr>
              <w:jc w:val="both"/>
              <w:rPr>
                <w:rFonts w:ascii="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t>Splněno</w:t>
            </w:r>
          </w:p>
        </w:tc>
      </w:tr>
      <w:tr w:rsidR="0044160F" w:rsidRPr="00412C4E" w:rsidTr="0011719C">
        <w:tc>
          <w:tcPr>
            <w:tcW w:w="10201" w:type="dxa"/>
            <w:gridSpan w:val="2"/>
          </w:tcPr>
          <w:p w:rsidR="0044160F" w:rsidRPr="00CF5B13" w:rsidRDefault="0044160F" w:rsidP="0093531B">
            <w:pPr>
              <w:jc w:val="both"/>
              <w:rPr>
                <w:rFonts w:ascii="Times New Roman" w:hAnsi="Times New Roman" w:cs="Times New Roman"/>
                <w:sz w:val="24"/>
                <w:szCs w:val="24"/>
                <w:lang w:val="cs-CZ"/>
              </w:rPr>
            </w:pPr>
            <w:r w:rsidRPr="00CF5B13">
              <w:rPr>
                <w:rFonts w:ascii="Times New Roman" w:hAnsi="Times New Roman" w:cs="Times New Roman"/>
                <w:sz w:val="24"/>
                <w:szCs w:val="24"/>
                <w:lang w:val="cs-CZ"/>
              </w:rPr>
              <w:t xml:space="preserve">V rámci webové stránky MZV byla vytvořena samostatná kapitola „Ženy, mír a bezpečnost“, která obsahuje základní informace o agendě. Na stránce jsou rovněž odkazy na texty 1. a 2. NAP a na Implementační zprávy za </w:t>
            </w:r>
            <w:r w:rsidR="00E42C68" w:rsidRPr="00CF5B13">
              <w:rPr>
                <w:rFonts w:ascii="Times New Roman" w:hAnsi="Times New Roman" w:cs="Times New Roman"/>
                <w:sz w:val="24"/>
                <w:szCs w:val="24"/>
                <w:lang w:val="cs-CZ"/>
              </w:rPr>
              <w:t xml:space="preserve">uplynulé </w:t>
            </w:r>
            <w:r w:rsidRPr="00CF5B13">
              <w:rPr>
                <w:rFonts w:ascii="Times New Roman" w:hAnsi="Times New Roman" w:cs="Times New Roman"/>
                <w:sz w:val="24"/>
                <w:szCs w:val="24"/>
                <w:lang w:val="cs-CZ"/>
              </w:rPr>
              <w:t>roky. Stránka má i anglickou verzi.</w:t>
            </w:r>
          </w:p>
          <w:p w:rsidR="0044160F" w:rsidRPr="00CF5B13" w:rsidRDefault="0015742D" w:rsidP="0044160F">
            <w:pPr>
              <w:jc w:val="both"/>
              <w:rPr>
                <w:rFonts w:ascii="Times New Roman" w:hAnsi="Times New Roman" w:cs="Times New Roman"/>
                <w:sz w:val="24"/>
                <w:szCs w:val="24"/>
                <w:lang w:val="cs-CZ"/>
              </w:rPr>
            </w:pPr>
            <w:hyperlink r:id="rId19" w:history="1">
              <w:r w:rsidR="0044160F" w:rsidRPr="00CF5B13">
                <w:rPr>
                  <w:rStyle w:val="Hypertextovodkaz"/>
                  <w:rFonts w:ascii="Times New Roman" w:hAnsi="Times New Roman"/>
                  <w:sz w:val="24"/>
                  <w:szCs w:val="24"/>
                  <w:lang w:val="cs-CZ"/>
                </w:rPr>
                <w:t>https://www.mzv.cz/jnp/cz/zahranicni_vztahy/agenda_zeny_mir_a_bezpecnost/index.html</w:t>
              </w:r>
            </w:hyperlink>
          </w:p>
          <w:p w:rsidR="0044160F" w:rsidRPr="00CF5B13" w:rsidRDefault="0015742D" w:rsidP="00DE15DC">
            <w:pPr>
              <w:jc w:val="both"/>
              <w:rPr>
                <w:rStyle w:val="Hypertextovodkaz"/>
                <w:rFonts w:ascii="Times New Roman" w:hAnsi="Times New Roman"/>
                <w:sz w:val="24"/>
                <w:szCs w:val="24"/>
                <w:lang w:val="cs-CZ"/>
              </w:rPr>
            </w:pPr>
            <w:hyperlink r:id="rId20" w:history="1">
              <w:r w:rsidR="0044160F" w:rsidRPr="00CF5B13">
                <w:rPr>
                  <w:rStyle w:val="Hypertextovodkaz"/>
                  <w:rFonts w:ascii="Times New Roman" w:hAnsi="Times New Roman"/>
                  <w:sz w:val="24"/>
                  <w:szCs w:val="24"/>
                  <w:lang w:val="cs-CZ"/>
                </w:rPr>
                <w:t>https://www.mzv.cz/jnp/en/foreign_relations/women_peace_and_security/index.html</w:t>
              </w:r>
            </w:hyperlink>
          </w:p>
          <w:p w:rsidR="009B6309" w:rsidRPr="00CF5B13" w:rsidRDefault="009B6309" w:rsidP="00DE15DC">
            <w:pPr>
              <w:jc w:val="both"/>
              <w:rPr>
                <w:rFonts w:ascii="Times New Roman" w:hAnsi="Times New Roman" w:cs="Times New Roman"/>
                <w:sz w:val="24"/>
                <w:szCs w:val="24"/>
                <w:lang w:val="cs-CZ"/>
              </w:rPr>
            </w:pPr>
          </w:p>
        </w:tc>
      </w:tr>
      <w:tr w:rsidR="0044160F" w:rsidRPr="00CF5B13" w:rsidTr="00D0567C">
        <w:tc>
          <w:tcPr>
            <w:tcW w:w="6799" w:type="dxa"/>
          </w:tcPr>
          <w:p w:rsidR="0044160F" w:rsidRPr="00CF5B13" w:rsidRDefault="0044160F" w:rsidP="0044160F">
            <w:pPr>
              <w:jc w:val="both"/>
              <w:rPr>
                <w:rFonts w:ascii="Times New Roman" w:eastAsia="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t>2.1</w:t>
            </w:r>
            <w:r w:rsidR="00C56A44" w:rsidRPr="00CF5B13">
              <w:rPr>
                <w:rFonts w:ascii="Times New Roman" w:eastAsia="Times New Roman" w:hAnsi="Times New Roman" w:cs="Times New Roman"/>
                <w:b/>
                <w:color w:val="4472C4" w:themeColor="accent5"/>
                <w:sz w:val="24"/>
                <w:szCs w:val="24"/>
                <w:lang w:val="cs-CZ"/>
              </w:rPr>
              <w:t>5</w:t>
            </w:r>
            <w:r w:rsidRPr="00CF5B13">
              <w:rPr>
                <w:rFonts w:ascii="Times New Roman" w:eastAsia="Times New Roman" w:hAnsi="Times New Roman" w:cs="Times New Roman"/>
                <w:b/>
                <w:color w:val="4472C4" w:themeColor="accent5"/>
                <w:sz w:val="24"/>
                <w:szCs w:val="24"/>
                <w:lang w:val="cs-CZ"/>
              </w:rPr>
              <w:t xml:space="preserve"> Ukotvit agendu genderové rovnosti/WPS v činnosti dotčených odborů v organizačních řádech MZV, MV a MO.</w:t>
            </w:r>
          </w:p>
          <w:p w:rsidR="0044160F" w:rsidRPr="00CF5B13" w:rsidRDefault="0044160F" w:rsidP="0044160F">
            <w:pPr>
              <w:jc w:val="both"/>
              <w:rPr>
                <w:rFonts w:ascii="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t>(MZV, MV, MO)</w:t>
            </w:r>
          </w:p>
        </w:tc>
        <w:tc>
          <w:tcPr>
            <w:tcW w:w="3402" w:type="dxa"/>
          </w:tcPr>
          <w:p w:rsidR="0044160F" w:rsidRPr="00CF5B13" w:rsidRDefault="0044160F" w:rsidP="0044160F">
            <w:pPr>
              <w:rPr>
                <w:rFonts w:ascii="Times New Roman" w:eastAsia="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t>Plněno průběžně</w:t>
            </w:r>
          </w:p>
          <w:p w:rsidR="0044160F" w:rsidRPr="00CF5B13" w:rsidRDefault="0044160F" w:rsidP="0044160F">
            <w:pPr>
              <w:rPr>
                <w:rFonts w:ascii="Times New Roman" w:hAnsi="Times New Roman" w:cs="Times New Roman"/>
                <w:b/>
                <w:color w:val="4472C4" w:themeColor="accent5"/>
                <w:sz w:val="24"/>
                <w:szCs w:val="24"/>
                <w:lang w:val="cs-CZ"/>
              </w:rPr>
            </w:pPr>
          </w:p>
        </w:tc>
      </w:tr>
      <w:tr w:rsidR="0044160F" w:rsidRPr="00412C4E" w:rsidTr="00B20DCC">
        <w:tc>
          <w:tcPr>
            <w:tcW w:w="10201" w:type="dxa"/>
            <w:gridSpan w:val="2"/>
          </w:tcPr>
          <w:p w:rsidR="0044160F" w:rsidRPr="00CF5B13" w:rsidRDefault="0044160F" w:rsidP="00EC345A">
            <w:pPr>
              <w:pStyle w:val="Odstavecseseznamem"/>
              <w:numPr>
                <w:ilvl w:val="0"/>
                <w:numId w:val="6"/>
              </w:numPr>
              <w:spacing w:before="120"/>
              <w:jc w:val="both"/>
              <w:rPr>
                <w:rFonts w:ascii="Times New Roman" w:hAnsi="Times New Roman" w:cs="Times New Roman"/>
                <w:b/>
                <w:sz w:val="24"/>
                <w:szCs w:val="24"/>
                <w:u w:val="single"/>
                <w:lang w:val="cs-CZ"/>
              </w:rPr>
            </w:pPr>
            <w:r w:rsidRPr="00CF5B13">
              <w:rPr>
                <w:rFonts w:ascii="Times New Roman" w:hAnsi="Times New Roman" w:cs="Times New Roman"/>
                <w:b/>
                <w:sz w:val="24"/>
                <w:szCs w:val="24"/>
                <w:u w:val="single"/>
                <w:lang w:val="cs-CZ"/>
              </w:rPr>
              <w:t>Ministerstvo zahraničních věcí</w:t>
            </w:r>
          </w:p>
          <w:p w:rsidR="00EC345A" w:rsidRPr="00B0597F" w:rsidRDefault="008B1284" w:rsidP="003B2FE7">
            <w:pPr>
              <w:pStyle w:val="Nzevlnku"/>
              <w:spacing w:before="120" w:after="0"/>
              <w:jc w:val="both"/>
              <w:rPr>
                <w:rFonts w:ascii="Times New Roman" w:hAnsi="Times New Roman"/>
                <w:b w:val="0"/>
                <w:sz w:val="24"/>
              </w:rPr>
            </w:pPr>
            <w:r w:rsidRPr="00CF5B13">
              <w:rPr>
                <w:rFonts w:ascii="Times New Roman" w:hAnsi="Times New Roman"/>
                <w:b w:val="0"/>
                <w:sz w:val="24"/>
              </w:rPr>
              <w:t xml:space="preserve">Agenda genderové rovnosti je ukotvena v čl. 36, odst. 10 Organizačního řádu MZV: </w:t>
            </w:r>
            <w:bookmarkStart w:id="6" w:name="_Toc121218922"/>
            <w:r w:rsidRPr="00CF5B13">
              <w:rPr>
                <w:rFonts w:ascii="Times New Roman" w:hAnsi="Times New Roman"/>
                <w:b w:val="0"/>
                <w:sz w:val="24"/>
              </w:rPr>
              <w:t>„Odbor kanceláře státního tajemníka a koncepčního řízení ve věcech státní služby</w:t>
            </w:r>
            <w:bookmarkEnd w:id="6"/>
            <w:r w:rsidRPr="00CF5B13">
              <w:rPr>
                <w:rFonts w:ascii="Times New Roman" w:hAnsi="Times New Roman"/>
                <w:b w:val="0"/>
                <w:sz w:val="24"/>
              </w:rPr>
              <w:t xml:space="preserve"> (…) zabezpečuje výkon agendy související s problematikou genderové rovnosti, včetně gender focal pointu.” Agenda WPS je ukotvena v čl. 44, odst. 6 Organizačního řádu MZV</w:t>
            </w:r>
            <w:bookmarkStart w:id="7" w:name="_Toc121218942"/>
            <w:r w:rsidRPr="00CF5B13">
              <w:rPr>
                <w:rFonts w:ascii="Times New Roman" w:hAnsi="Times New Roman"/>
                <w:b w:val="0"/>
                <w:sz w:val="24"/>
              </w:rPr>
              <w:t xml:space="preserve">: </w:t>
            </w:r>
            <w:r w:rsidRPr="004F4B76">
              <w:rPr>
                <w:rFonts w:ascii="Times New Roman" w:hAnsi="Times New Roman"/>
                <w:b w:val="0"/>
                <w:sz w:val="24"/>
              </w:rPr>
              <w:t>„Odbor Organizace spojených národů a globálních otázek</w:t>
            </w:r>
            <w:bookmarkEnd w:id="7"/>
            <w:r w:rsidRPr="004F4B76">
              <w:rPr>
                <w:rFonts w:ascii="Times New Roman" w:hAnsi="Times New Roman"/>
                <w:b w:val="0"/>
                <w:sz w:val="24"/>
              </w:rPr>
              <w:t xml:space="preserve"> (…) zabezpečuje a koordinuje Agendu ženy, mír, bezpečnost a zřizuje národní focal point. Koordinuje </w:t>
            </w:r>
            <w:r w:rsidRPr="004F4B76">
              <w:rPr>
                <w:rFonts w:ascii="Times New Roman" w:hAnsi="Times New Roman"/>
                <w:b w:val="0"/>
                <w:sz w:val="24"/>
              </w:rPr>
              <w:lastRenderedPageBreak/>
              <w:t>přípravu a implementaci Národního akčního plánu a řídí pracovní skupinu k Agendě ženy, mír, bezpečnost.“</w:t>
            </w:r>
          </w:p>
          <w:p w:rsidR="00EC345A" w:rsidRPr="00CF5B13" w:rsidRDefault="00EC345A" w:rsidP="0044160F">
            <w:pPr>
              <w:jc w:val="both"/>
              <w:rPr>
                <w:rFonts w:ascii="Times New Roman" w:hAnsi="Times New Roman" w:cs="Times New Roman"/>
                <w:sz w:val="24"/>
                <w:szCs w:val="24"/>
                <w:lang w:val="cs-CZ"/>
              </w:rPr>
            </w:pPr>
          </w:p>
          <w:p w:rsidR="0044160F" w:rsidRPr="00CF5B13" w:rsidRDefault="0044160F" w:rsidP="003B2FE7">
            <w:pPr>
              <w:pStyle w:val="Odstavecseseznamem"/>
              <w:numPr>
                <w:ilvl w:val="0"/>
                <w:numId w:val="6"/>
              </w:numPr>
              <w:spacing w:after="120"/>
              <w:jc w:val="both"/>
              <w:rPr>
                <w:rFonts w:ascii="Times New Roman" w:hAnsi="Times New Roman" w:cs="Times New Roman"/>
                <w:b/>
                <w:sz w:val="24"/>
                <w:szCs w:val="24"/>
                <w:u w:val="single"/>
                <w:lang w:val="cs-CZ"/>
              </w:rPr>
            </w:pPr>
            <w:r w:rsidRPr="00CF5B13">
              <w:rPr>
                <w:rFonts w:ascii="Times New Roman" w:hAnsi="Times New Roman" w:cs="Times New Roman"/>
                <w:b/>
                <w:sz w:val="24"/>
                <w:szCs w:val="24"/>
                <w:u w:val="single"/>
                <w:lang w:val="cs-CZ"/>
              </w:rPr>
              <w:t>Ministerstvo vnitra</w:t>
            </w:r>
          </w:p>
          <w:p w:rsidR="009D28E5" w:rsidRPr="00CF5B13" w:rsidRDefault="009D28E5" w:rsidP="00E42C68">
            <w:pPr>
              <w:spacing w:after="60"/>
              <w:jc w:val="both"/>
              <w:rPr>
                <w:rFonts w:ascii="Times New Roman" w:hAnsi="Times New Roman" w:cs="Times New Roman"/>
                <w:sz w:val="24"/>
                <w:szCs w:val="24"/>
                <w:lang w:val="cs-CZ"/>
              </w:rPr>
            </w:pPr>
            <w:r w:rsidRPr="00CF5B13">
              <w:rPr>
                <w:rFonts w:ascii="Times New Roman" w:hAnsi="Times New Roman" w:cs="Times New Roman"/>
                <w:sz w:val="24"/>
                <w:szCs w:val="24"/>
                <w:lang w:val="cs-CZ"/>
              </w:rPr>
              <w:t xml:space="preserve">Agenda WPS není výslovně uvedena v Organizačním řádu Ministerstva vnitra. V rámci Kanceláře státního tajemníka je uvedena koordinace lidskoprávních agend, kam spadá i Agenda WPS: </w:t>
            </w:r>
            <w:r w:rsidR="00047ED7" w:rsidRPr="00CF5B13">
              <w:rPr>
                <w:rFonts w:ascii="Times New Roman" w:hAnsi="Times New Roman" w:cs="Times New Roman"/>
                <w:sz w:val="24"/>
                <w:szCs w:val="24"/>
                <w:lang w:val="cs-CZ"/>
              </w:rPr>
              <w:t>(„</w:t>
            </w:r>
            <w:r w:rsidRPr="00CF5B13">
              <w:rPr>
                <w:rFonts w:ascii="Times New Roman" w:hAnsi="Times New Roman" w:cs="Times New Roman"/>
                <w:sz w:val="24"/>
                <w:szCs w:val="24"/>
                <w:lang w:val="cs-CZ"/>
              </w:rPr>
              <w:t>Koordinace aktivit resortu v oblasti prosazování rovných příležitostí mužů a žen</w:t>
            </w:r>
            <w:r w:rsidR="00047ED7" w:rsidRPr="00CF5B13">
              <w:rPr>
                <w:rFonts w:ascii="Times New Roman" w:hAnsi="Times New Roman" w:cs="Times New Roman"/>
                <w:sz w:val="24"/>
                <w:szCs w:val="24"/>
                <w:lang w:val="cs-CZ"/>
              </w:rPr>
              <w:t>“)</w:t>
            </w:r>
          </w:p>
          <w:p w:rsidR="009D28E5" w:rsidRPr="00CF5B13" w:rsidRDefault="009D28E5" w:rsidP="0044160F">
            <w:pPr>
              <w:jc w:val="both"/>
              <w:rPr>
                <w:rFonts w:ascii="Times New Roman" w:hAnsi="Times New Roman" w:cs="Times New Roman"/>
                <w:sz w:val="24"/>
                <w:szCs w:val="24"/>
                <w:lang w:val="cs-CZ"/>
              </w:rPr>
            </w:pPr>
          </w:p>
          <w:p w:rsidR="0044160F" w:rsidRPr="00CF5B13" w:rsidRDefault="0044160F" w:rsidP="00EC345A">
            <w:pPr>
              <w:pStyle w:val="Odstavecseseznamem"/>
              <w:numPr>
                <w:ilvl w:val="0"/>
                <w:numId w:val="6"/>
              </w:numPr>
              <w:spacing w:before="40"/>
              <w:jc w:val="both"/>
              <w:rPr>
                <w:rFonts w:ascii="Times New Roman" w:hAnsi="Times New Roman" w:cs="Times New Roman"/>
                <w:b/>
                <w:sz w:val="24"/>
                <w:szCs w:val="24"/>
                <w:u w:val="single"/>
                <w:lang w:val="cs-CZ"/>
              </w:rPr>
            </w:pPr>
            <w:r w:rsidRPr="00CF5B13">
              <w:rPr>
                <w:rFonts w:ascii="Times New Roman" w:hAnsi="Times New Roman" w:cs="Times New Roman"/>
                <w:b/>
                <w:sz w:val="24"/>
                <w:szCs w:val="24"/>
                <w:u w:val="single"/>
                <w:lang w:val="cs-CZ"/>
              </w:rPr>
              <w:t>Ministerstvo obrany</w:t>
            </w:r>
          </w:p>
          <w:p w:rsidR="0044160F" w:rsidRPr="00CF5B13" w:rsidRDefault="0044160F" w:rsidP="00180CFB">
            <w:pPr>
              <w:spacing w:before="160"/>
              <w:jc w:val="both"/>
              <w:rPr>
                <w:rFonts w:ascii="Times New Roman" w:hAnsi="Times New Roman" w:cs="Times New Roman"/>
                <w:sz w:val="24"/>
                <w:szCs w:val="24"/>
                <w:lang w:val="cs-CZ"/>
              </w:rPr>
            </w:pPr>
            <w:r w:rsidRPr="00CF5B13">
              <w:rPr>
                <w:rFonts w:ascii="Times New Roman" w:hAnsi="Times New Roman" w:cs="Times New Roman"/>
                <w:sz w:val="24"/>
                <w:szCs w:val="24"/>
                <w:lang w:val="cs-CZ"/>
              </w:rPr>
              <w:t>V </w:t>
            </w:r>
            <w:r w:rsidR="00047ED7" w:rsidRPr="00CF5B13">
              <w:rPr>
                <w:rFonts w:ascii="Times New Roman" w:hAnsi="Times New Roman" w:cs="Times New Roman"/>
                <w:sz w:val="24"/>
                <w:szCs w:val="24"/>
                <w:lang w:val="cs-CZ"/>
              </w:rPr>
              <w:t>resort</w:t>
            </w:r>
            <w:r w:rsidRPr="00CF5B13">
              <w:rPr>
                <w:rFonts w:ascii="Times New Roman" w:hAnsi="Times New Roman" w:cs="Times New Roman"/>
                <w:sz w:val="24"/>
                <w:szCs w:val="24"/>
                <w:lang w:val="cs-CZ"/>
              </w:rPr>
              <w:t xml:space="preserve">u MO byla dotčená agenda ukotvena (stejně tak jako tomu bylo v roce 2021) v následujících organizačních útvarech: </w:t>
            </w:r>
          </w:p>
          <w:p w:rsidR="0044160F" w:rsidRPr="00CF5B13" w:rsidRDefault="0044160F" w:rsidP="0044160F">
            <w:pPr>
              <w:pStyle w:val="Odstavecseseznamem"/>
              <w:numPr>
                <w:ilvl w:val="0"/>
                <w:numId w:val="15"/>
              </w:numPr>
              <w:jc w:val="both"/>
              <w:rPr>
                <w:rFonts w:ascii="Times New Roman" w:hAnsi="Times New Roman" w:cs="Times New Roman"/>
                <w:sz w:val="24"/>
                <w:szCs w:val="24"/>
                <w:lang w:val="cs-CZ"/>
              </w:rPr>
            </w:pPr>
            <w:r w:rsidRPr="00CF5B13">
              <w:rPr>
                <w:rFonts w:ascii="Times New Roman" w:hAnsi="Times New Roman" w:cs="Times New Roman"/>
                <w:sz w:val="24"/>
                <w:szCs w:val="24"/>
                <w:lang w:val="cs-CZ"/>
              </w:rPr>
              <w:t>v sekci státního tajemníka MO, v podřízenosti Státního tajemníka v MO (členka mezi</w:t>
            </w:r>
            <w:r w:rsidR="00047ED7" w:rsidRPr="00CF5B13">
              <w:rPr>
                <w:rFonts w:ascii="Times New Roman" w:hAnsi="Times New Roman" w:cs="Times New Roman"/>
                <w:sz w:val="24"/>
                <w:szCs w:val="24"/>
                <w:lang w:val="cs-CZ"/>
              </w:rPr>
              <w:t>resort</w:t>
            </w:r>
            <w:r w:rsidRPr="00CF5B13">
              <w:rPr>
                <w:rFonts w:ascii="Times New Roman" w:hAnsi="Times New Roman" w:cs="Times New Roman"/>
                <w:sz w:val="24"/>
                <w:szCs w:val="24"/>
                <w:lang w:val="cs-CZ"/>
              </w:rPr>
              <w:t>ní pracovní skupiny k agendě WPS</w:t>
            </w:r>
            <w:r w:rsidR="00180CFB" w:rsidRPr="00CF5B13">
              <w:rPr>
                <w:rFonts w:ascii="Times New Roman" w:hAnsi="Times New Roman" w:cs="Times New Roman"/>
                <w:sz w:val="24"/>
                <w:szCs w:val="24"/>
                <w:lang w:val="cs-CZ"/>
              </w:rPr>
              <w:t xml:space="preserve"> </w:t>
            </w:r>
            <w:r w:rsidRPr="00CF5B13">
              <w:rPr>
                <w:rFonts w:ascii="Times New Roman" w:hAnsi="Times New Roman" w:cs="Times New Roman"/>
                <w:sz w:val="24"/>
                <w:szCs w:val="24"/>
                <w:lang w:val="cs-CZ"/>
              </w:rPr>
              <w:t xml:space="preserve">a koordinátorka rovnosti žen a mužů v působnosti </w:t>
            </w:r>
            <w:r w:rsidR="00047ED7" w:rsidRPr="00CF5B13">
              <w:rPr>
                <w:rFonts w:ascii="Times New Roman" w:hAnsi="Times New Roman" w:cs="Times New Roman"/>
                <w:sz w:val="24"/>
                <w:szCs w:val="24"/>
                <w:lang w:val="cs-CZ"/>
              </w:rPr>
              <w:t>resort</w:t>
            </w:r>
            <w:r w:rsidRPr="00CF5B13">
              <w:rPr>
                <w:rFonts w:ascii="Times New Roman" w:hAnsi="Times New Roman" w:cs="Times New Roman"/>
                <w:sz w:val="24"/>
                <w:szCs w:val="24"/>
                <w:lang w:val="cs-CZ"/>
              </w:rPr>
              <w:t xml:space="preserve">u MO); </w:t>
            </w:r>
          </w:p>
          <w:p w:rsidR="0044160F" w:rsidRPr="00CF5B13" w:rsidRDefault="0044160F" w:rsidP="0044160F">
            <w:pPr>
              <w:pStyle w:val="Odstavecseseznamem"/>
              <w:numPr>
                <w:ilvl w:val="0"/>
                <w:numId w:val="15"/>
              </w:numPr>
              <w:jc w:val="both"/>
              <w:rPr>
                <w:rFonts w:ascii="Times New Roman" w:hAnsi="Times New Roman" w:cs="Times New Roman"/>
                <w:sz w:val="24"/>
                <w:szCs w:val="24"/>
                <w:lang w:val="cs-CZ"/>
              </w:rPr>
            </w:pPr>
            <w:r w:rsidRPr="00CF5B13">
              <w:rPr>
                <w:rFonts w:ascii="Times New Roman" w:hAnsi="Times New Roman" w:cs="Times New Roman"/>
                <w:sz w:val="24"/>
                <w:szCs w:val="24"/>
                <w:lang w:val="cs-CZ"/>
              </w:rPr>
              <w:t>v oddělení zahraniční spolupráce, odboru obranné politiky, Sekce obranné politiky a strategie MO (člen mezi</w:t>
            </w:r>
            <w:r w:rsidR="00047ED7" w:rsidRPr="00CF5B13">
              <w:rPr>
                <w:rFonts w:ascii="Times New Roman" w:hAnsi="Times New Roman" w:cs="Times New Roman"/>
                <w:sz w:val="24"/>
                <w:szCs w:val="24"/>
                <w:lang w:val="cs-CZ"/>
              </w:rPr>
              <w:t>resort</w:t>
            </w:r>
            <w:r w:rsidRPr="00CF5B13">
              <w:rPr>
                <w:rFonts w:ascii="Times New Roman" w:hAnsi="Times New Roman" w:cs="Times New Roman"/>
                <w:sz w:val="24"/>
                <w:szCs w:val="24"/>
                <w:lang w:val="cs-CZ"/>
              </w:rPr>
              <w:t xml:space="preserve">ní pracovní skupiny k agendě WPS);  </w:t>
            </w:r>
          </w:p>
          <w:p w:rsidR="0044160F" w:rsidRPr="00CF5B13" w:rsidRDefault="0044160F" w:rsidP="0044160F">
            <w:pPr>
              <w:pStyle w:val="Odstavecseseznamem"/>
              <w:numPr>
                <w:ilvl w:val="0"/>
                <w:numId w:val="15"/>
              </w:numPr>
              <w:jc w:val="both"/>
              <w:rPr>
                <w:rFonts w:ascii="Times New Roman" w:hAnsi="Times New Roman" w:cs="Times New Roman"/>
                <w:sz w:val="24"/>
                <w:szCs w:val="24"/>
                <w:lang w:val="cs-CZ"/>
              </w:rPr>
            </w:pPr>
            <w:r w:rsidRPr="00CF5B13">
              <w:rPr>
                <w:rFonts w:ascii="Times New Roman" w:hAnsi="Times New Roman" w:cs="Times New Roman"/>
                <w:sz w:val="24"/>
                <w:szCs w:val="24"/>
                <w:lang w:val="cs-CZ"/>
              </w:rPr>
              <w:t xml:space="preserve">v osobním štábu Náčelníka Generálního štábu AČR (dále jen NGŠ AČR), Velení AČR (poradkyně NGŠ AČR pro oblast doplňování personálem a problematiku rovných příležitostí mužů a žen); </w:t>
            </w:r>
          </w:p>
          <w:p w:rsidR="0044160F" w:rsidRPr="00CF5B13" w:rsidRDefault="0044160F" w:rsidP="0044160F">
            <w:pPr>
              <w:pStyle w:val="Odstavecseseznamem"/>
              <w:numPr>
                <w:ilvl w:val="0"/>
                <w:numId w:val="15"/>
              </w:numPr>
              <w:jc w:val="both"/>
              <w:rPr>
                <w:rFonts w:ascii="Times New Roman" w:hAnsi="Times New Roman" w:cs="Times New Roman"/>
                <w:sz w:val="24"/>
                <w:szCs w:val="24"/>
                <w:lang w:val="cs-CZ"/>
              </w:rPr>
            </w:pPr>
            <w:r w:rsidRPr="00CF5B13">
              <w:rPr>
                <w:rFonts w:ascii="Times New Roman" w:hAnsi="Times New Roman" w:cs="Times New Roman"/>
                <w:sz w:val="24"/>
                <w:szCs w:val="24"/>
                <w:lang w:val="cs-CZ"/>
              </w:rPr>
              <w:t xml:space="preserve">ve vnitřním předpisu – rozkazu ministra obrany k prosazování principu rovnosti žen a mužů v působnosti </w:t>
            </w:r>
            <w:r w:rsidR="00047ED7" w:rsidRPr="00CF5B13">
              <w:rPr>
                <w:rFonts w:ascii="Times New Roman" w:hAnsi="Times New Roman" w:cs="Times New Roman"/>
                <w:sz w:val="24"/>
                <w:szCs w:val="24"/>
                <w:lang w:val="cs-CZ"/>
              </w:rPr>
              <w:t>resort</w:t>
            </w:r>
            <w:r w:rsidRPr="00CF5B13">
              <w:rPr>
                <w:rFonts w:ascii="Times New Roman" w:hAnsi="Times New Roman" w:cs="Times New Roman"/>
                <w:sz w:val="24"/>
                <w:szCs w:val="24"/>
                <w:lang w:val="cs-CZ"/>
              </w:rPr>
              <w:t>u MO - je ukotvena pozice Stálé delegátky AČR ve Výboru NATO pro genderové perspektivy, kterou jmenuje NGŠ AČR (členka mezi</w:t>
            </w:r>
            <w:r w:rsidR="00047ED7" w:rsidRPr="00CF5B13">
              <w:rPr>
                <w:rFonts w:ascii="Times New Roman" w:hAnsi="Times New Roman" w:cs="Times New Roman"/>
                <w:sz w:val="24"/>
                <w:szCs w:val="24"/>
                <w:lang w:val="cs-CZ"/>
              </w:rPr>
              <w:t>resort</w:t>
            </w:r>
            <w:r w:rsidRPr="00CF5B13">
              <w:rPr>
                <w:rFonts w:ascii="Times New Roman" w:hAnsi="Times New Roman" w:cs="Times New Roman"/>
                <w:sz w:val="24"/>
                <w:szCs w:val="24"/>
                <w:lang w:val="cs-CZ"/>
              </w:rPr>
              <w:t xml:space="preserve">ní pracovní skupiny k agendě WPS).  </w:t>
            </w:r>
          </w:p>
          <w:p w:rsidR="0044160F" w:rsidRPr="00CF5B13" w:rsidRDefault="0044160F" w:rsidP="0044160F">
            <w:pPr>
              <w:jc w:val="both"/>
              <w:rPr>
                <w:rFonts w:ascii="Times New Roman" w:hAnsi="Times New Roman" w:cs="Times New Roman"/>
                <w:sz w:val="24"/>
                <w:szCs w:val="24"/>
                <w:lang w:val="cs-CZ"/>
              </w:rPr>
            </w:pPr>
          </w:p>
        </w:tc>
      </w:tr>
    </w:tbl>
    <w:p w:rsidR="00810DE9" w:rsidRPr="00CF5B13" w:rsidRDefault="00810DE9" w:rsidP="00806259">
      <w:pPr>
        <w:jc w:val="both"/>
        <w:rPr>
          <w:rFonts w:ascii="Times New Roman" w:hAnsi="Times New Roman" w:cs="Times New Roman"/>
          <w:b/>
          <w:sz w:val="32"/>
          <w:szCs w:val="32"/>
          <w:lang w:val="cs-CZ"/>
        </w:rPr>
      </w:pPr>
    </w:p>
    <w:p w:rsidR="00942248" w:rsidRPr="00CF5B13" w:rsidRDefault="00810DE9" w:rsidP="00810DE9">
      <w:pPr>
        <w:rPr>
          <w:rFonts w:ascii="Times New Roman" w:hAnsi="Times New Roman" w:cs="Times New Roman"/>
          <w:b/>
          <w:sz w:val="32"/>
          <w:szCs w:val="32"/>
          <w:lang w:val="cs-CZ"/>
        </w:rPr>
      </w:pPr>
      <w:r w:rsidRPr="00CF5B13">
        <w:rPr>
          <w:rFonts w:ascii="Times New Roman" w:hAnsi="Times New Roman" w:cs="Times New Roman"/>
          <w:b/>
          <w:sz w:val="32"/>
          <w:szCs w:val="32"/>
          <w:lang w:val="cs-CZ"/>
        </w:rPr>
        <w:br w:type="page"/>
      </w:r>
    </w:p>
    <w:p w:rsidR="00806259" w:rsidRPr="00CF5B13" w:rsidRDefault="00A917CE" w:rsidP="003C620E">
      <w:pPr>
        <w:pStyle w:val="Nadpis1"/>
        <w:numPr>
          <w:ilvl w:val="0"/>
          <w:numId w:val="10"/>
        </w:numPr>
        <w:spacing w:before="0"/>
        <w:rPr>
          <w:lang w:val="cs-CZ"/>
        </w:rPr>
      </w:pPr>
      <w:bookmarkStart w:id="8" w:name="_Toc134015675"/>
      <w:r w:rsidRPr="00CF5B13">
        <w:rPr>
          <w:lang w:val="cs-CZ"/>
        </w:rPr>
        <w:lastRenderedPageBreak/>
        <w:t>Prevence</w:t>
      </w:r>
      <w:bookmarkEnd w:id="8"/>
      <w:r w:rsidRPr="00CF5B13">
        <w:rPr>
          <w:lang w:val="cs-CZ"/>
        </w:rPr>
        <w:t xml:space="preserve"> </w:t>
      </w:r>
    </w:p>
    <w:p w:rsidR="0087625A" w:rsidRPr="00CF5B13" w:rsidRDefault="0087625A" w:rsidP="00DE15DC">
      <w:pPr>
        <w:spacing w:after="120"/>
        <w:ind w:right="-800"/>
        <w:rPr>
          <w:rFonts w:ascii="Times New Roman" w:hAnsi="Times New Roman" w:cs="Times New Roman"/>
          <w:b/>
          <w:sz w:val="24"/>
          <w:szCs w:val="24"/>
          <w:lang w:val="cs-CZ"/>
        </w:rPr>
      </w:pPr>
    </w:p>
    <w:p w:rsidR="00B20DCC" w:rsidRPr="00CF5B13" w:rsidRDefault="00706D8A" w:rsidP="0087625A">
      <w:pPr>
        <w:ind w:right="-800"/>
        <w:rPr>
          <w:rFonts w:ascii="Times New Roman" w:hAnsi="Times New Roman" w:cs="Times New Roman"/>
          <w:b/>
          <w:sz w:val="24"/>
          <w:szCs w:val="24"/>
          <w:lang w:val="cs-CZ"/>
        </w:rPr>
      </w:pPr>
      <w:r w:rsidRPr="00CF5B13">
        <w:rPr>
          <w:rFonts w:ascii="Times New Roman" w:hAnsi="Times New Roman" w:cs="Times New Roman"/>
          <w:b/>
          <w:sz w:val="24"/>
          <w:szCs w:val="24"/>
          <w:lang w:val="cs-CZ"/>
        </w:rPr>
        <w:t xml:space="preserve">Strategický cíl: </w:t>
      </w:r>
      <w:r w:rsidR="00A917CE" w:rsidRPr="00CF5B13">
        <w:rPr>
          <w:rFonts w:ascii="Times New Roman" w:hAnsi="Times New Roman" w:cs="Times New Roman"/>
          <w:b/>
          <w:sz w:val="24"/>
          <w:szCs w:val="24"/>
          <w:lang w:val="cs-CZ"/>
        </w:rPr>
        <w:t>Aktivně se podílet na posilování prevence kon</w:t>
      </w:r>
      <w:r w:rsidR="0087625A" w:rsidRPr="00CF5B13">
        <w:rPr>
          <w:rFonts w:ascii="Times New Roman" w:hAnsi="Times New Roman" w:cs="Times New Roman"/>
          <w:b/>
          <w:sz w:val="24"/>
          <w:szCs w:val="24"/>
          <w:lang w:val="cs-CZ"/>
        </w:rPr>
        <w:t xml:space="preserve">fliktů skrze podporu práv žen a </w:t>
      </w:r>
      <w:r w:rsidR="00A917CE" w:rsidRPr="00CF5B13">
        <w:rPr>
          <w:rFonts w:ascii="Times New Roman" w:hAnsi="Times New Roman" w:cs="Times New Roman"/>
          <w:b/>
          <w:sz w:val="24"/>
          <w:szCs w:val="24"/>
          <w:lang w:val="cs-CZ"/>
        </w:rPr>
        <w:t>genderové rovnosti</w:t>
      </w:r>
    </w:p>
    <w:tbl>
      <w:tblPr>
        <w:tblStyle w:val="Mkatabulky"/>
        <w:tblW w:w="10201" w:type="dxa"/>
        <w:tblLook w:val="04A0" w:firstRow="1" w:lastRow="0" w:firstColumn="1" w:lastColumn="0" w:noHBand="0" w:noVBand="1"/>
      </w:tblPr>
      <w:tblGrid>
        <w:gridCol w:w="6799"/>
        <w:gridCol w:w="3402"/>
      </w:tblGrid>
      <w:tr w:rsidR="00810DE9" w:rsidRPr="00CF5B13" w:rsidTr="00D0567C">
        <w:tc>
          <w:tcPr>
            <w:tcW w:w="6799" w:type="dxa"/>
          </w:tcPr>
          <w:p w:rsidR="00810DE9" w:rsidRPr="00CF5B13" w:rsidRDefault="00810DE9" w:rsidP="00810DE9">
            <w:pPr>
              <w:jc w:val="both"/>
              <w:rPr>
                <w:rFonts w:ascii="Times New Roman" w:hAnsi="Times New Roman" w:cs="Times New Roman"/>
                <w:b/>
                <w:i/>
                <w:sz w:val="24"/>
                <w:szCs w:val="24"/>
                <w:lang w:val="cs-CZ"/>
              </w:rPr>
            </w:pPr>
            <w:r w:rsidRPr="00CF5B13">
              <w:rPr>
                <w:rFonts w:ascii="Times New Roman" w:hAnsi="Times New Roman" w:cs="Times New Roman"/>
                <w:b/>
                <w:i/>
                <w:sz w:val="24"/>
                <w:szCs w:val="24"/>
                <w:lang w:val="cs-CZ"/>
              </w:rPr>
              <w:t xml:space="preserve"> Opatření</w:t>
            </w:r>
          </w:p>
          <w:p w:rsidR="00810DE9" w:rsidRPr="00CF5B13" w:rsidRDefault="00810DE9" w:rsidP="0096547F">
            <w:pPr>
              <w:spacing w:after="120"/>
              <w:jc w:val="both"/>
              <w:rPr>
                <w:rFonts w:ascii="Times New Roman" w:hAnsi="Times New Roman" w:cs="Times New Roman"/>
                <w:b/>
                <w:i/>
                <w:sz w:val="24"/>
                <w:szCs w:val="24"/>
                <w:lang w:val="cs-CZ"/>
              </w:rPr>
            </w:pPr>
            <w:r w:rsidRPr="00CF5B13">
              <w:rPr>
                <w:rFonts w:ascii="Times New Roman" w:hAnsi="Times New Roman" w:cs="Times New Roman"/>
                <w:b/>
                <w:i/>
                <w:sz w:val="24"/>
                <w:szCs w:val="24"/>
                <w:lang w:val="cs-CZ"/>
              </w:rPr>
              <w:t>(Odpovědná instituce/spolupracující instituce)</w:t>
            </w:r>
            <w:r w:rsidRPr="00CF5B13">
              <w:rPr>
                <w:rFonts w:ascii="Times New Roman" w:hAnsi="Times New Roman" w:cs="Times New Roman"/>
                <w:b/>
                <w:i/>
                <w:sz w:val="24"/>
                <w:szCs w:val="24"/>
                <w:lang w:val="cs-CZ"/>
              </w:rPr>
              <w:tab/>
            </w:r>
          </w:p>
        </w:tc>
        <w:tc>
          <w:tcPr>
            <w:tcW w:w="3402" w:type="dxa"/>
          </w:tcPr>
          <w:p w:rsidR="00810DE9" w:rsidRPr="00CF5B13" w:rsidRDefault="00810DE9" w:rsidP="00810DE9">
            <w:pPr>
              <w:rPr>
                <w:rFonts w:ascii="Times New Roman" w:hAnsi="Times New Roman" w:cs="Times New Roman"/>
                <w:b/>
                <w:i/>
                <w:sz w:val="24"/>
                <w:szCs w:val="24"/>
                <w:lang w:val="cs-CZ"/>
              </w:rPr>
            </w:pPr>
            <w:r w:rsidRPr="00CF5B13">
              <w:rPr>
                <w:rFonts w:ascii="Times New Roman" w:hAnsi="Times New Roman" w:cs="Times New Roman"/>
                <w:b/>
                <w:i/>
                <w:sz w:val="24"/>
                <w:szCs w:val="24"/>
                <w:lang w:val="cs-CZ"/>
              </w:rPr>
              <w:t>Vyhodnocení plnění opatření</w:t>
            </w:r>
          </w:p>
        </w:tc>
      </w:tr>
      <w:tr w:rsidR="00810DE9" w:rsidRPr="00CF5B13" w:rsidTr="00D0567C">
        <w:tc>
          <w:tcPr>
            <w:tcW w:w="6799" w:type="dxa"/>
          </w:tcPr>
          <w:p w:rsidR="003A1790" w:rsidRPr="00CF5B13" w:rsidRDefault="00810DE9" w:rsidP="00810DE9">
            <w:pPr>
              <w:jc w:val="both"/>
              <w:rPr>
                <w:rFonts w:ascii="Times New Roman" w:eastAsia="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t xml:space="preserve">3.1 Do zpráv o vývoji v konfliktních zemích a prioritních zemích ZRS zařadit alespoň 1x ročně genderovou analýzu. </w:t>
            </w:r>
          </w:p>
          <w:p w:rsidR="00810DE9" w:rsidRPr="00CF5B13" w:rsidRDefault="00810DE9" w:rsidP="00327664">
            <w:pPr>
              <w:spacing w:after="120"/>
              <w:jc w:val="both"/>
              <w:rPr>
                <w:rFonts w:ascii="Times New Roman" w:hAnsi="Times New Roman" w:cs="Times New Roman"/>
                <w:b/>
                <w:sz w:val="24"/>
                <w:szCs w:val="24"/>
                <w:lang w:val="cs-CZ"/>
              </w:rPr>
            </w:pPr>
            <w:r w:rsidRPr="00CF5B13">
              <w:rPr>
                <w:rFonts w:ascii="Times New Roman" w:eastAsia="Times New Roman" w:hAnsi="Times New Roman" w:cs="Times New Roman"/>
                <w:b/>
                <w:color w:val="4472C4" w:themeColor="accent5"/>
                <w:sz w:val="24"/>
                <w:szCs w:val="24"/>
                <w:lang w:val="cs-CZ"/>
              </w:rPr>
              <w:t>(MZV)</w:t>
            </w:r>
          </w:p>
        </w:tc>
        <w:tc>
          <w:tcPr>
            <w:tcW w:w="3402" w:type="dxa"/>
          </w:tcPr>
          <w:p w:rsidR="0096547F" w:rsidRPr="00CF5B13" w:rsidRDefault="0096547F" w:rsidP="0096547F">
            <w:pPr>
              <w:rPr>
                <w:rFonts w:ascii="Times New Roman" w:eastAsia="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t>Plněno průběžně</w:t>
            </w:r>
          </w:p>
          <w:p w:rsidR="00810DE9" w:rsidRPr="00CF5B13" w:rsidRDefault="00810DE9" w:rsidP="0096547F">
            <w:pPr>
              <w:jc w:val="both"/>
              <w:rPr>
                <w:rFonts w:ascii="Times New Roman" w:hAnsi="Times New Roman" w:cs="Times New Roman"/>
                <w:sz w:val="24"/>
                <w:szCs w:val="24"/>
                <w:lang w:val="cs-CZ"/>
              </w:rPr>
            </w:pPr>
          </w:p>
        </w:tc>
      </w:tr>
      <w:tr w:rsidR="00810DE9" w:rsidRPr="00412C4E" w:rsidTr="00331DE5">
        <w:tc>
          <w:tcPr>
            <w:tcW w:w="10201" w:type="dxa"/>
            <w:gridSpan w:val="2"/>
          </w:tcPr>
          <w:p w:rsidR="0096547F" w:rsidRPr="00CF5B13" w:rsidRDefault="00546887" w:rsidP="0096547F">
            <w:pPr>
              <w:jc w:val="both"/>
              <w:rPr>
                <w:rFonts w:ascii="Times New Roman" w:hAnsi="Times New Roman" w:cs="Times New Roman"/>
                <w:sz w:val="24"/>
                <w:szCs w:val="24"/>
                <w:lang w:val="cs-CZ"/>
              </w:rPr>
            </w:pPr>
            <w:r w:rsidRPr="00CF5B13">
              <w:rPr>
                <w:rFonts w:ascii="Times New Roman" w:eastAsia="Times New Roman" w:hAnsi="Times New Roman" w:cs="Times New Roman"/>
                <w:iCs/>
                <w:sz w:val="24"/>
                <w:szCs w:val="24"/>
                <w:lang w:val="cs-CZ"/>
              </w:rPr>
              <w:t xml:space="preserve"> </w:t>
            </w:r>
            <w:r w:rsidR="0096547F" w:rsidRPr="00CF5B13">
              <w:rPr>
                <w:rFonts w:ascii="Times New Roman" w:eastAsia="Times New Roman" w:hAnsi="Times New Roman" w:cs="Times New Roman"/>
                <w:iCs/>
                <w:sz w:val="24"/>
                <w:szCs w:val="24"/>
                <w:lang w:val="cs-CZ"/>
              </w:rPr>
              <w:t xml:space="preserve">Pravidelné zpravodajství je aktuálně zaměřeno na dění v prioritních a konfliktních zemích s důrazem na postup implementace projektů zahraniční rozvojové spolupráce a humanitární pomoci ČR. </w:t>
            </w:r>
            <w:r w:rsidR="0096547F" w:rsidRPr="00CF5B13">
              <w:rPr>
                <w:rFonts w:ascii="Times New Roman" w:hAnsi="Times New Roman" w:cs="Times New Roman"/>
                <w:sz w:val="24"/>
                <w:szCs w:val="24"/>
                <w:lang w:val="cs-CZ"/>
              </w:rPr>
              <w:t xml:space="preserve">Průřezová témata a gender včetně zmapování situace v zemi je jedním z východisek pro nově připravované programy Bilaterální rozvojové spolupráce s prioritními zeměmi na roky 2024-2030. Požadavek genderové analýzy bude návazně zařazen do pravidelného zpravodajství ze </w:t>
            </w:r>
            <w:r w:rsidR="00327664" w:rsidRPr="00CF5B13">
              <w:rPr>
                <w:rFonts w:ascii="Times New Roman" w:hAnsi="Times New Roman" w:cs="Times New Roman"/>
                <w:sz w:val="24"/>
                <w:szCs w:val="24"/>
                <w:lang w:val="cs-CZ"/>
              </w:rPr>
              <w:t>zastupitelských úřadů</w:t>
            </w:r>
            <w:r w:rsidR="0096547F" w:rsidRPr="00CF5B13">
              <w:rPr>
                <w:rFonts w:ascii="Times New Roman" w:hAnsi="Times New Roman" w:cs="Times New Roman"/>
                <w:sz w:val="24"/>
                <w:szCs w:val="24"/>
                <w:lang w:val="cs-CZ"/>
              </w:rPr>
              <w:t>.</w:t>
            </w:r>
          </w:p>
          <w:p w:rsidR="00A62F64" w:rsidRPr="00CF5B13" w:rsidRDefault="00A62F64" w:rsidP="00A62F64">
            <w:pPr>
              <w:jc w:val="both"/>
              <w:rPr>
                <w:rFonts w:ascii="Times New Roman" w:hAnsi="Times New Roman" w:cs="Times New Roman"/>
                <w:sz w:val="24"/>
                <w:szCs w:val="24"/>
                <w:lang w:val="cs-CZ"/>
              </w:rPr>
            </w:pPr>
            <w:r>
              <w:rPr>
                <w:rFonts w:ascii="Times New Roman" w:hAnsi="Times New Roman" w:cs="Times New Roman"/>
                <w:sz w:val="24"/>
                <w:szCs w:val="24"/>
                <w:lang w:val="cs-CZ"/>
              </w:rPr>
              <w:t>Specificky, zpravodajství v oblasti genderové problematiky na Ukrajině je poskytováno především prostřednictvím donorských koordinačních skupin a mezinárodních organizací, jejichž činnost v této oblasti ČR v roce 2022 na Ukrajině a v Moldavsku podpořila.</w:t>
            </w:r>
          </w:p>
          <w:p w:rsidR="00810DE9" w:rsidRPr="00CF5B13" w:rsidRDefault="00810DE9" w:rsidP="00A94942">
            <w:pPr>
              <w:jc w:val="both"/>
              <w:rPr>
                <w:rFonts w:ascii="Times New Roman" w:hAnsi="Times New Roman" w:cs="Times New Roman"/>
                <w:sz w:val="24"/>
                <w:szCs w:val="24"/>
                <w:lang w:val="cs-CZ"/>
              </w:rPr>
            </w:pPr>
          </w:p>
        </w:tc>
      </w:tr>
      <w:tr w:rsidR="00810DE9" w:rsidRPr="00CF5B13" w:rsidTr="00D0567C">
        <w:tc>
          <w:tcPr>
            <w:tcW w:w="6799" w:type="dxa"/>
          </w:tcPr>
          <w:p w:rsidR="00810DE9" w:rsidRPr="00CF5B13" w:rsidRDefault="00810DE9" w:rsidP="00810DE9">
            <w:pPr>
              <w:jc w:val="both"/>
              <w:rPr>
                <w:rFonts w:ascii="Times New Roman" w:eastAsia="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t>3.2 Vhodnou formou informovat migranty/-ky o podpůrných službách v oblasti prevence, pomoci, péče a zotavení se z domácího, sexuálního a genderově podmíněného násilí.</w:t>
            </w:r>
          </w:p>
          <w:p w:rsidR="00810DE9" w:rsidRPr="00CF5B13" w:rsidRDefault="00810DE9" w:rsidP="00327664">
            <w:pPr>
              <w:spacing w:after="120"/>
              <w:jc w:val="both"/>
              <w:rPr>
                <w:rFonts w:ascii="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t>(MV/NNO)</w:t>
            </w:r>
          </w:p>
        </w:tc>
        <w:tc>
          <w:tcPr>
            <w:tcW w:w="3402" w:type="dxa"/>
          </w:tcPr>
          <w:p w:rsidR="00C303AD" w:rsidRPr="00CF5B13" w:rsidRDefault="00C303AD" w:rsidP="00C303AD">
            <w:pPr>
              <w:jc w:val="both"/>
              <w:rPr>
                <w:rFonts w:ascii="Times New Roman" w:hAnsi="Times New Roman" w:cs="Times New Roman"/>
                <w:b/>
                <w:color w:val="4472C4" w:themeColor="accent5"/>
                <w:sz w:val="24"/>
                <w:szCs w:val="24"/>
                <w:lang w:val="cs-CZ"/>
              </w:rPr>
            </w:pPr>
            <w:r w:rsidRPr="00CF5B13">
              <w:rPr>
                <w:rFonts w:ascii="Times New Roman" w:hAnsi="Times New Roman" w:cs="Times New Roman"/>
                <w:b/>
                <w:color w:val="4472C4" w:themeColor="accent5"/>
                <w:sz w:val="24"/>
                <w:szCs w:val="24"/>
                <w:lang w:val="cs-CZ"/>
              </w:rPr>
              <w:t>Plněno průběžně</w:t>
            </w:r>
          </w:p>
          <w:p w:rsidR="00A94942" w:rsidRPr="00CF5B13" w:rsidRDefault="00A94942" w:rsidP="00C303AD">
            <w:pPr>
              <w:rPr>
                <w:rFonts w:ascii="Times New Roman" w:hAnsi="Times New Roman" w:cs="Times New Roman"/>
                <w:color w:val="4472C4" w:themeColor="accent5"/>
                <w:sz w:val="24"/>
                <w:szCs w:val="24"/>
                <w:lang w:val="cs-CZ"/>
              </w:rPr>
            </w:pPr>
          </w:p>
        </w:tc>
      </w:tr>
      <w:tr w:rsidR="00810DE9" w:rsidRPr="00412C4E" w:rsidTr="00331DE5">
        <w:tc>
          <w:tcPr>
            <w:tcW w:w="10201" w:type="dxa"/>
            <w:gridSpan w:val="2"/>
          </w:tcPr>
          <w:p w:rsidR="00C303AD" w:rsidRDefault="003616F7" w:rsidP="00810DE9">
            <w:pPr>
              <w:jc w:val="both"/>
              <w:rPr>
                <w:rFonts w:ascii="Times New Roman" w:hAnsi="Times New Roman" w:cs="Times New Roman"/>
                <w:sz w:val="24"/>
                <w:szCs w:val="24"/>
                <w:lang w:val="cs-CZ"/>
              </w:rPr>
            </w:pPr>
            <w:r w:rsidRPr="00CF5B13">
              <w:rPr>
                <w:rFonts w:ascii="Times New Roman" w:hAnsi="Times New Roman" w:cs="Times New Roman"/>
                <w:sz w:val="24"/>
                <w:szCs w:val="24"/>
                <w:lang w:val="cs-CZ"/>
              </w:rPr>
              <w:t xml:space="preserve"> </w:t>
            </w:r>
            <w:r w:rsidR="00C303AD" w:rsidRPr="00CF5B13">
              <w:rPr>
                <w:rFonts w:ascii="Times New Roman" w:hAnsi="Times New Roman" w:cs="Times New Roman"/>
                <w:sz w:val="24"/>
                <w:szCs w:val="24"/>
                <w:lang w:val="cs-CZ"/>
              </w:rPr>
              <w:t>Od 1. 1. 2021 je v platnosti nová zákonná povinnost absolvovat adaptačně-integrační kurz pro vybrané skupiny cizinců ze třetích zemí. Adaptačně-integrační kurz je kurz, v rámci kterého jsou cizinci seznámeni s právy a povinnostmi vyplývajícími z jejich pobytu na území České republiky, se základními hodnotami Č</w:t>
            </w:r>
            <w:r w:rsidR="00327664" w:rsidRPr="00CF5B13">
              <w:rPr>
                <w:rFonts w:ascii="Times New Roman" w:hAnsi="Times New Roman" w:cs="Times New Roman"/>
                <w:sz w:val="24"/>
                <w:szCs w:val="24"/>
                <w:lang w:val="cs-CZ"/>
              </w:rPr>
              <w:t>R</w:t>
            </w:r>
            <w:r w:rsidR="00C303AD" w:rsidRPr="00CF5B13">
              <w:rPr>
                <w:rFonts w:ascii="Times New Roman" w:hAnsi="Times New Roman" w:cs="Times New Roman"/>
                <w:sz w:val="24"/>
                <w:szCs w:val="24"/>
                <w:lang w:val="cs-CZ"/>
              </w:rPr>
              <w:t>, s místními poměry a s kulturními zvyklostmi, které v Č</w:t>
            </w:r>
            <w:r w:rsidR="00327664" w:rsidRPr="00CF5B13">
              <w:rPr>
                <w:rFonts w:ascii="Times New Roman" w:hAnsi="Times New Roman" w:cs="Times New Roman"/>
                <w:sz w:val="24"/>
                <w:szCs w:val="24"/>
                <w:lang w:val="cs-CZ"/>
              </w:rPr>
              <w:t>R</w:t>
            </w:r>
            <w:r w:rsidR="00C303AD" w:rsidRPr="00CF5B13">
              <w:rPr>
                <w:rFonts w:ascii="Times New Roman" w:hAnsi="Times New Roman" w:cs="Times New Roman"/>
                <w:sz w:val="24"/>
                <w:szCs w:val="24"/>
                <w:lang w:val="cs-CZ"/>
              </w:rPr>
              <w:t xml:space="preserve"> převládají. Účastníkům kurzu navíc </w:t>
            </w:r>
            <w:r w:rsidR="007A73E1" w:rsidRPr="00CF5B13">
              <w:rPr>
                <w:rFonts w:ascii="Times New Roman" w:hAnsi="Times New Roman" w:cs="Times New Roman"/>
                <w:sz w:val="24"/>
                <w:szCs w:val="24"/>
                <w:lang w:val="cs-CZ"/>
              </w:rPr>
              <w:t xml:space="preserve">jsou </w:t>
            </w:r>
            <w:r w:rsidR="00C303AD" w:rsidRPr="00CF5B13">
              <w:rPr>
                <w:rFonts w:ascii="Times New Roman" w:hAnsi="Times New Roman" w:cs="Times New Roman"/>
                <w:sz w:val="24"/>
                <w:szCs w:val="24"/>
                <w:lang w:val="cs-CZ"/>
              </w:rPr>
              <w:t>poskytnuty informace o organizacích a institucích poskytujících cizincům bezplatné poradenství. Od obecných informací se cizinci na adaptačně-integračních kurzech dozvídají i o ochraně lidských práv, rovnosti žen a mužů a prevenci či posléze pomoci při domácím násilí. Cizinci na kurzech jsou upozorňování na organizace, které v této oblasti mohou daným cizincům pomoct. Tyto a další informace jsou prezentovány na všech adaptačně-integračních kurzech. Všichni účastníci obdrželi tyto informace.</w:t>
            </w:r>
          </w:p>
          <w:p w:rsidR="00182FAA" w:rsidRPr="00182FAA" w:rsidRDefault="00182FAA" w:rsidP="000901DC">
            <w:pPr>
              <w:spacing w:before="120"/>
              <w:jc w:val="both"/>
              <w:rPr>
                <w:rFonts w:ascii="Times New Roman" w:hAnsi="Times New Roman" w:cs="Times New Roman"/>
                <w:sz w:val="24"/>
                <w:szCs w:val="24"/>
                <w:lang w:val="cs-CZ"/>
              </w:rPr>
            </w:pPr>
            <w:r w:rsidRPr="00182FAA">
              <w:rPr>
                <w:rFonts w:ascii="Times New Roman" w:hAnsi="Times New Roman" w:cs="Times New Roman"/>
                <w:sz w:val="24"/>
                <w:szCs w:val="24"/>
                <w:lang w:val="cs-CZ"/>
              </w:rPr>
              <w:t xml:space="preserve">Organizace Sdružení pro integraci a migraci, o. p. s. (SIMI), jakožto registrovaná sociální služba, poskytovala během </w:t>
            </w:r>
            <w:r>
              <w:rPr>
                <w:rFonts w:ascii="Times New Roman" w:hAnsi="Times New Roman" w:cs="Times New Roman"/>
                <w:sz w:val="24"/>
                <w:szCs w:val="24"/>
                <w:lang w:val="cs-CZ"/>
              </w:rPr>
              <w:t>dané</w:t>
            </w:r>
            <w:r w:rsidRPr="00182FAA">
              <w:rPr>
                <w:rFonts w:ascii="Times New Roman" w:hAnsi="Times New Roman" w:cs="Times New Roman"/>
                <w:sz w:val="24"/>
                <w:szCs w:val="24"/>
                <w:lang w:val="cs-CZ"/>
              </w:rPr>
              <w:t xml:space="preserve">ho období kontinuální právní a sociální poradenství migrantkám pobývajícím v ČR, přičemž mezi často řešená témata patří i prevence a ochrana před domácím a genderově podmíněným násilím (např. na pracovišti či ve veřejném prostoru). Na poradenství pak navazovaly služby psychosociální/terapeutické pomoci a interkulturní práci (v případě potřeby jednat s lékaři, úřady či jinými veřejnými institucemi). V roce 2022 se této individuální podpory dostalo 240 ženám </w:t>
            </w:r>
            <w:r w:rsidRPr="00182FAA">
              <w:rPr>
                <w:rFonts w:ascii="Times New Roman" w:hAnsi="Times New Roman" w:cs="Times New Roman"/>
                <w:sz w:val="24"/>
                <w:szCs w:val="24"/>
                <w:lang w:val="cs-CZ"/>
              </w:rPr>
              <w:lastRenderedPageBreak/>
              <w:t>migrantkám a dalším desítkám držitelek dočasné ochrany.</w:t>
            </w:r>
          </w:p>
          <w:p w:rsidR="00182FAA" w:rsidRPr="00CF5B13" w:rsidRDefault="00182FAA" w:rsidP="00182FAA">
            <w:pPr>
              <w:jc w:val="both"/>
              <w:rPr>
                <w:rFonts w:ascii="Times New Roman" w:hAnsi="Times New Roman" w:cs="Times New Roman"/>
                <w:sz w:val="24"/>
                <w:szCs w:val="24"/>
                <w:lang w:val="cs-CZ"/>
              </w:rPr>
            </w:pPr>
            <w:r w:rsidRPr="00182FAA">
              <w:rPr>
                <w:rFonts w:ascii="Times New Roman" w:hAnsi="Times New Roman" w:cs="Times New Roman"/>
                <w:sz w:val="24"/>
                <w:szCs w:val="24"/>
                <w:lang w:val="cs-CZ"/>
              </w:rPr>
              <w:t>Dále byl v organizaci SIMI vytvořený seznam linek pomoci</w:t>
            </w:r>
            <w:r w:rsidR="00441CAB">
              <w:rPr>
                <w:rStyle w:val="Znakapoznpodarou"/>
                <w:rFonts w:ascii="Times New Roman" w:hAnsi="Times New Roman" w:cs="Times New Roman"/>
                <w:sz w:val="24"/>
                <w:szCs w:val="24"/>
                <w:lang w:val="cs-CZ"/>
              </w:rPr>
              <w:footnoteReference w:id="7"/>
            </w:r>
            <w:r w:rsidRPr="00182FAA">
              <w:rPr>
                <w:rFonts w:ascii="Times New Roman" w:hAnsi="Times New Roman" w:cs="Times New Roman"/>
                <w:sz w:val="24"/>
                <w:szCs w:val="24"/>
                <w:lang w:val="cs-CZ"/>
              </w:rPr>
              <w:t xml:space="preserve"> pro oběti domácího násilí a sexuálního obt</w:t>
            </w:r>
            <w:r w:rsidR="0069214A">
              <w:rPr>
                <w:rFonts w:ascii="Times New Roman" w:hAnsi="Times New Roman" w:cs="Times New Roman"/>
                <w:sz w:val="24"/>
                <w:szCs w:val="24"/>
                <w:lang w:val="cs-CZ"/>
              </w:rPr>
              <w:t>ě</w:t>
            </w:r>
            <w:r w:rsidRPr="00182FAA">
              <w:rPr>
                <w:rFonts w:ascii="Times New Roman" w:hAnsi="Times New Roman" w:cs="Times New Roman"/>
                <w:sz w:val="24"/>
                <w:szCs w:val="24"/>
                <w:lang w:val="cs-CZ"/>
              </w:rPr>
              <w:t xml:space="preserve">žování, násilí na ženách vykořisťování, a to v českém, ukrajinském, anglickém a mongolském jazyce. Základní kontakty pomoci a první kroky k bezpečí pak poskytuje informační leták </w:t>
            </w:r>
            <w:r>
              <w:rPr>
                <w:rFonts w:ascii="Times New Roman" w:hAnsi="Times New Roman" w:cs="Times New Roman"/>
                <w:sz w:val="24"/>
                <w:szCs w:val="24"/>
                <w:lang w:val="cs-CZ"/>
              </w:rPr>
              <w:t>„Nebudu obětí!“</w:t>
            </w:r>
            <w:r w:rsidRPr="00182FAA">
              <w:rPr>
                <w:rFonts w:ascii="Times New Roman" w:hAnsi="Times New Roman" w:cs="Times New Roman"/>
                <w:sz w:val="24"/>
                <w:szCs w:val="24"/>
                <w:lang w:val="cs-CZ"/>
              </w:rPr>
              <w:t xml:space="preserve"> dostupný v 5 jazycích</w:t>
            </w:r>
            <w:r w:rsidR="00441CAB">
              <w:rPr>
                <w:rStyle w:val="Znakapoznpodarou"/>
                <w:rFonts w:ascii="Times New Roman" w:hAnsi="Times New Roman" w:cs="Times New Roman"/>
                <w:sz w:val="24"/>
                <w:szCs w:val="24"/>
                <w:lang w:val="cs-CZ"/>
              </w:rPr>
              <w:footnoteReference w:id="8"/>
            </w:r>
            <w:r w:rsidRPr="00182FAA">
              <w:rPr>
                <w:rFonts w:ascii="Times New Roman" w:hAnsi="Times New Roman" w:cs="Times New Roman"/>
                <w:sz w:val="24"/>
                <w:szCs w:val="24"/>
                <w:lang w:val="cs-CZ"/>
              </w:rPr>
              <w:t>, včetně nejnověji i jazyka ukrajinského. Ze zahraniční spolupráce pak vznikl informační leták Beware of sexual exploitation (Vyvarujte se sexuálnímu vykořisťování) ve 3 jazykových verzích (anglicky, rusky a ukrajinsky), který byl pro migrantky v ČR doplněn o český a mongolský překlad.</w:t>
            </w:r>
          </w:p>
          <w:p w:rsidR="00C303AD" w:rsidRPr="00CF5B13" w:rsidRDefault="00C303AD" w:rsidP="00810DE9">
            <w:pPr>
              <w:jc w:val="both"/>
              <w:rPr>
                <w:rFonts w:ascii="Times New Roman" w:hAnsi="Times New Roman" w:cs="Times New Roman"/>
                <w:sz w:val="24"/>
                <w:szCs w:val="24"/>
                <w:lang w:val="cs-CZ"/>
              </w:rPr>
            </w:pPr>
          </w:p>
        </w:tc>
      </w:tr>
      <w:tr w:rsidR="00810DE9" w:rsidRPr="00CF5B13" w:rsidTr="00327664">
        <w:trPr>
          <w:trHeight w:val="1533"/>
        </w:trPr>
        <w:tc>
          <w:tcPr>
            <w:tcW w:w="6799" w:type="dxa"/>
          </w:tcPr>
          <w:p w:rsidR="00810DE9" w:rsidRPr="00CF5B13" w:rsidRDefault="00810DE9" w:rsidP="00810DE9">
            <w:pPr>
              <w:jc w:val="both"/>
              <w:rPr>
                <w:rFonts w:ascii="Times New Roman" w:eastAsia="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lastRenderedPageBreak/>
              <w:t>3.3 Vytvořit vzdělávací modul k představení právních a kulturních odlišností v oblasti sexuálního a genderově podmíněného násilí se zaměřením na citlivý přístup a odlišnosti vnímání této problematiky v jiných kulturách a zemích.</w:t>
            </w:r>
          </w:p>
          <w:p w:rsidR="00810DE9" w:rsidRPr="00CF5B13" w:rsidRDefault="00810DE9" w:rsidP="00810DE9">
            <w:pPr>
              <w:jc w:val="both"/>
              <w:rPr>
                <w:rFonts w:ascii="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t>(</w:t>
            </w:r>
            <w:r w:rsidRPr="00CF5B13">
              <w:rPr>
                <w:rFonts w:ascii="Times New Roman" w:hAnsi="Times New Roman" w:cs="Times New Roman"/>
                <w:b/>
                <w:color w:val="4472C4" w:themeColor="accent5"/>
                <w:sz w:val="24"/>
                <w:szCs w:val="24"/>
                <w:lang w:val="cs-CZ"/>
              </w:rPr>
              <w:t>MV/NNO)</w:t>
            </w:r>
          </w:p>
        </w:tc>
        <w:tc>
          <w:tcPr>
            <w:tcW w:w="3402" w:type="dxa"/>
          </w:tcPr>
          <w:p w:rsidR="00A12BD9" w:rsidRPr="00CF5B13" w:rsidRDefault="00A12BD9" w:rsidP="00A12BD9">
            <w:pPr>
              <w:rPr>
                <w:rFonts w:ascii="Times New Roman" w:eastAsia="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t>Plněno průběžně</w:t>
            </w:r>
          </w:p>
          <w:p w:rsidR="00810DE9" w:rsidRPr="00CF5B13" w:rsidRDefault="00810DE9" w:rsidP="00A12BD9">
            <w:pPr>
              <w:jc w:val="both"/>
              <w:rPr>
                <w:rFonts w:ascii="Times New Roman" w:hAnsi="Times New Roman" w:cs="Times New Roman"/>
                <w:b/>
                <w:color w:val="4472C4" w:themeColor="accent5"/>
                <w:sz w:val="24"/>
                <w:szCs w:val="24"/>
                <w:lang w:val="cs-CZ"/>
              </w:rPr>
            </w:pPr>
          </w:p>
        </w:tc>
      </w:tr>
      <w:tr w:rsidR="00810DE9" w:rsidRPr="00412C4E" w:rsidTr="00331DE5">
        <w:tc>
          <w:tcPr>
            <w:tcW w:w="10201" w:type="dxa"/>
            <w:gridSpan w:val="2"/>
          </w:tcPr>
          <w:p w:rsidR="00810DE9" w:rsidRDefault="003616F7" w:rsidP="00810DE9">
            <w:pPr>
              <w:jc w:val="both"/>
              <w:rPr>
                <w:rFonts w:ascii="Times New Roman" w:hAnsi="Times New Roman" w:cs="Times New Roman"/>
                <w:sz w:val="24"/>
                <w:szCs w:val="24"/>
                <w:lang w:val="cs-CZ"/>
              </w:rPr>
            </w:pPr>
            <w:r w:rsidRPr="00CF5B13">
              <w:rPr>
                <w:rFonts w:ascii="Times New Roman" w:hAnsi="Times New Roman" w:cs="Times New Roman"/>
                <w:sz w:val="24"/>
                <w:szCs w:val="24"/>
                <w:lang w:val="cs-CZ"/>
              </w:rPr>
              <w:t xml:space="preserve"> </w:t>
            </w:r>
            <w:r w:rsidR="00A12BD9" w:rsidRPr="00CF5B13">
              <w:rPr>
                <w:rFonts w:ascii="Times New Roman" w:hAnsi="Times New Roman" w:cs="Times New Roman"/>
                <w:sz w:val="24"/>
                <w:szCs w:val="24"/>
                <w:lang w:val="cs-CZ"/>
              </w:rPr>
              <w:t>Policejní akademie vypracovala vzdělávací modul zaměřený na oblast „Právní a kulturní odlišnosti v oblasti sexuálního a genderově podmíněného násilí se zaměřením na citlivý přístup a odlišnosti vnímání této problematiky v jiných kulturách a zemích“, který byl konzultován i s Útvarem policejního vzdělávání a služební přípravy PČR. Modul bude součástí Katalogu celoživotního vzdělávání Policejní akademie v akademickém roce 2023/2024.</w:t>
            </w:r>
          </w:p>
          <w:p w:rsidR="00182FAA" w:rsidRPr="00CF5B13" w:rsidRDefault="00B83C40" w:rsidP="00810DE9">
            <w:pPr>
              <w:jc w:val="both"/>
              <w:rPr>
                <w:rFonts w:ascii="Times New Roman" w:hAnsi="Times New Roman" w:cs="Times New Roman"/>
                <w:sz w:val="24"/>
                <w:szCs w:val="24"/>
                <w:lang w:val="cs-CZ"/>
              </w:rPr>
            </w:pPr>
            <w:r>
              <w:rPr>
                <w:rFonts w:ascii="Times New Roman" w:hAnsi="Times New Roman" w:cs="Times New Roman"/>
                <w:sz w:val="24"/>
                <w:szCs w:val="24"/>
                <w:lang w:val="cs-CZ"/>
              </w:rPr>
              <w:t xml:space="preserve">Zástupci </w:t>
            </w:r>
            <w:r w:rsidR="00182FAA" w:rsidRPr="00182FAA">
              <w:rPr>
                <w:rFonts w:ascii="Times New Roman" w:hAnsi="Times New Roman" w:cs="Times New Roman"/>
                <w:sz w:val="24"/>
                <w:szCs w:val="24"/>
                <w:lang w:val="cs-CZ"/>
              </w:rPr>
              <w:t>Sdružení pro integraci a migraci o. p. s.</w:t>
            </w:r>
            <w:r w:rsidR="00D632D0">
              <w:rPr>
                <w:rFonts w:ascii="Times New Roman" w:hAnsi="Times New Roman" w:cs="Times New Roman"/>
                <w:sz w:val="24"/>
                <w:szCs w:val="24"/>
                <w:lang w:val="cs-CZ"/>
              </w:rPr>
              <w:t xml:space="preserve"> (SIMI)</w:t>
            </w:r>
            <w:r w:rsidR="00182FAA" w:rsidRPr="00182FAA">
              <w:rPr>
                <w:rFonts w:ascii="Times New Roman" w:hAnsi="Times New Roman" w:cs="Times New Roman"/>
                <w:sz w:val="24"/>
                <w:szCs w:val="24"/>
                <w:lang w:val="cs-CZ"/>
              </w:rPr>
              <w:t xml:space="preserve"> a Acorus</w:t>
            </w:r>
            <w:r>
              <w:rPr>
                <w:rFonts w:ascii="Times New Roman" w:hAnsi="Times New Roman" w:cs="Times New Roman"/>
                <w:sz w:val="24"/>
                <w:szCs w:val="24"/>
                <w:lang w:val="cs-CZ"/>
              </w:rPr>
              <w:t xml:space="preserve"> z.ú.</w:t>
            </w:r>
            <w:r w:rsidR="00182FAA" w:rsidRPr="00182FAA">
              <w:rPr>
                <w:rFonts w:ascii="Times New Roman" w:hAnsi="Times New Roman" w:cs="Times New Roman"/>
                <w:sz w:val="24"/>
                <w:szCs w:val="24"/>
                <w:lang w:val="cs-CZ"/>
              </w:rPr>
              <w:t xml:space="preserve"> </w:t>
            </w:r>
            <w:r w:rsidR="00182FAA">
              <w:rPr>
                <w:rFonts w:ascii="Times New Roman" w:hAnsi="Times New Roman" w:cs="Times New Roman"/>
                <w:sz w:val="24"/>
                <w:szCs w:val="24"/>
                <w:lang w:val="cs-CZ"/>
              </w:rPr>
              <w:t>realizovali školení ohledně</w:t>
            </w:r>
            <w:r w:rsidR="00182FAA" w:rsidRPr="00182FAA">
              <w:rPr>
                <w:rFonts w:ascii="Times New Roman" w:hAnsi="Times New Roman" w:cs="Times New Roman"/>
                <w:sz w:val="24"/>
                <w:szCs w:val="24"/>
                <w:lang w:val="cs-CZ"/>
              </w:rPr>
              <w:t xml:space="preserve"> prevenc</w:t>
            </w:r>
            <w:r w:rsidR="00182FAA">
              <w:rPr>
                <w:rFonts w:ascii="Times New Roman" w:hAnsi="Times New Roman" w:cs="Times New Roman"/>
                <w:sz w:val="24"/>
                <w:szCs w:val="24"/>
                <w:lang w:val="cs-CZ"/>
              </w:rPr>
              <w:t>e</w:t>
            </w:r>
            <w:r w:rsidR="00182FAA" w:rsidRPr="00182FAA">
              <w:rPr>
                <w:rFonts w:ascii="Times New Roman" w:hAnsi="Times New Roman" w:cs="Times New Roman"/>
                <w:sz w:val="24"/>
                <w:szCs w:val="24"/>
                <w:lang w:val="cs-CZ"/>
              </w:rPr>
              <w:t xml:space="preserve"> a pomoci ženám prchajícím z Ukrajiny před válkou </w:t>
            </w:r>
            <w:r w:rsidR="00182FAA">
              <w:rPr>
                <w:rFonts w:ascii="Times New Roman" w:hAnsi="Times New Roman" w:cs="Times New Roman"/>
                <w:sz w:val="24"/>
                <w:szCs w:val="24"/>
                <w:lang w:val="cs-CZ"/>
              </w:rPr>
              <w:t>pro</w:t>
            </w:r>
            <w:r w:rsidR="00182FAA" w:rsidRPr="00182FAA">
              <w:rPr>
                <w:rFonts w:ascii="Times New Roman" w:hAnsi="Times New Roman" w:cs="Times New Roman"/>
                <w:sz w:val="24"/>
                <w:szCs w:val="24"/>
                <w:lang w:val="cs-CZ"/>
              </w:rPr>
              <w:t xml:space="preserve"> zástupce pomáhajících profesí a dobrovolníky z Inicitiavy Hlavák působící jako první kontaktní body pro nově příchozí do Prahy</w:t>
            </w:r>
            <w:r w:rsidR="00182FAA">
              <w:rPr>
                <w:rFonts w:ascii="Times New Roman" w:hAnsi="Times New Roman" w:cs="Times New Roman"/>
                <w:sz w:val="24"/>
                <w:szCs w:val="24"/>
                <w:lang w:val="cs-CZ"/>
              </w:rPr>
              <w:t>. Z o</w:t>
            </w:r>
            <w:r w:rsidR="00182FAA" w:rsidRPr="00182FAA">
              <w:rPr>
                <w:rFonts w:ascii="Times New Roman" w:hAnsi="Times New Roman" w:cs="Times New Roman"/>
                <w:sz w:val="24"/>
                <w:szCs w:val="24"/>
                <w:lang w:val="cs-CZ"/>
              </w:rPr>
              <w:t>nline webináře "Ženy v migraci - identifikace a komunikace s oběťmi do</w:t>
            </w:r>
            <w:r w:rsidR="00182FAA">
              <w:rPr>
                <w:rFonts w:ascii="Times New Roman" w:hAnsi="Times New Roman" w:cs="Times New Roman"/>
                <w:sz w:val="24"/>
                <w:szCs w:val="24"/>
                <w:lang w:val="cs-CZ"/>
              </w:rPr>
              <w:t>mácího násilí mezi uprchlicemi“</w:t>
            </w:r>
            <w:r w:rsidR="00182FAA" w:rsidRPr="00182FAA">
              <w:rPr>
                <w:rFonts w:ascii="Times New Roman" w:hAnsi="Times New Roman" w:cs="Times New Roman"/>
                <w:sz w:val="24"/>
                <w:szCs w:val="24"/>
                <w:lang w:val="cs-CZ"/>
              </w:rPr>
              <w:t xml:space="preserve"> jsou pořízen</w:t>
            </w:r>
            <w:r w:rsidR="00182FAA">
              <w:rPr>
                <w:rFonts w:ascii="Times New Roman" w:hAnsi="Times New Roman" w:cs="Times New Roman"/>
                <w:sz w:val="24"/>
                <w:szCs w:val="24"/>
                <w:lang w:val="cs-CZ"/>
              </w:rPr>
              <w:t>y</w:t>
            </w:r>
            <w:r w:rsidR="00182FAA" w:rsidRPr="00182FAA">
              <w:rPr>
                <w:rFonts w:ascii="Times New Roman" w:hAnsi="Times New Roman" w:cs="Times New Roman"/>
                <w:sz w:val="24"/>
                <w:szCs w:val="24"/>
                <w:lang w:val="cs-CZ"/>
              </w:rPr>
              <w:t xml:space="preserve"> videozáznamy s prezentacemi, určené k dalšímu šíření</w:t>
            </w:r>
            <w:r w:rsidR="00182FAA">
              <w:rPr>
                <w:rFonts w:ascii="Times New Roman" w:hAnsi="Times New Roman" w:cs="Times New Roman"/>
                <w:sz w:val="24"/>
                <w:szCs w:val="24"/>
                <w:lang w:val="cs-CZ"/>
              </w:rPr>
              <w:t xml:space="preserve"> (</w:t>
            </w:r>
            <w:r w:rsidR="00182FAA" w:rsidRPr="00182FAA">
              <w:rPr>
                <w:rFonts w:ascii="Times New Roman" w:hAnsi="Times New Roman" w:cs="Times New Roman"/>
                <w:sz w:val="24"/>
                <w:szCs w:val="24"/>
                <w:lang w:val="cs-CZ"/>
              </w:rPr>
              <w:t>Právní specifika u domácího násilí s migračním prvkem</w:t>
            </w:r>
            <w:r w:rsidR="00441CAB">
              <w:rPr>
                <w:rStyle w:val="Znakapoznpodarou"/>
                <w:rFonts w:ascii="Times New Roman" w:hAnsi="Times New Roman" w:cs="Times New Roman"/>
                <w:sz w:val="24"/>
                <w:szCs w:val="24"/>
                <w:lang w:val="cs-CZ"/>
              </w:rPr>
              <w:footnoteReference w:id="9"/>
            </w:r>
            <w:r w:rsidR="00182FAA" w:rsidRPr="00182FAA">
              <w:rPr>
                <w:rFonts w:ascii="Times New Roman" w:hAnsi="Times New Roman" w:cs="Times New Roman"/>
                <w:sz w:val="24"/>
                <w:szCs w:val="24"/>
                <w:lang w:val="cs-CZ"/>
              </w:rPr>
              <w:t>; Identifikace obětí násilí a základní komunikace s</w:t>
            </w:r>
            <w:r w:rsidR="00182FAA">
              <w:rPr>
                <w:rFonts w:ascii="Times New Roman" w:hAnsi="Times New Roman" w:cs="Times New Roman"/>
                <w:sz w:val="24"/>
                <w:szCs w:val="24"/>
                <w:lang w:val="cs-CZ"/>
              </w:rPr>
              <w:t> </w:t>
            </w:r>
            <w:r w:rsidR="00182FAA" w:rsidRPr="00182FAA">
              <w:rPr>
                <w:rFonts w:ascii="Times New Roman" w:hAnsi="Times New Roman" w:cs="Times New Roman"/>
                <w:sz w:val="24"/>
                <w:szCs w:val="24"/>
                <w:lang w:val="cs-CZ"/>
              </w:rPr>
              <w:t>obětí</w:t>
            </w:r>
            <w:r w:rsidR="00441CAB">
              <w:rPr>
                <w:rStyle w:val="Znakapoznpodarou"/>
                <w:rFonts w:ascii="Times New Roman" w:hAnsi="Times New Roman" w:cs="Times New Roman"/>
                <w:sz w:val="24"/>
                <w:szCs w:val="24"/>
                <w:lang w:val="cs-CZ"/>
              </w:rPr>
              <w:footnoteReference w:id="10"/>
            </w:r>
            <w:r w:rsidR="00182FAA">
              <w:rPr>
                <w:rFonts w:ascii="Times New Roman" w:hAnsi="Times New Roman" w:cs="Times New Roman"/>
                <w:sz w:val="24"/>
                <w:szCs w:val="24"/>
                <w:lang w:val="cs-CZ"/>
              </w:rPr>
              <w:t>)</w:t>
            </w:r>
            <w:r w:rsidR="00182FAA" w:rsidRPr="00182FAA">
              <w:rPr>
                <w:rFonts w:ascii="Times New Roman" w:hAnsi="Times New Roman" w:cs="Times New Roman"/>
                <w:sz w:val="24"/>
                <w:szCs w:val="24"/>
                <w:lang w:val="cs-CZ"/>
              </w:rPr>
              <w:t>.</w:t>
            </w:r>
            <w:r w:rsidR="00182FAA">
              <w:rPr>
                <w:rFonts w:ascii="Times New Roman" w:hAnsi="Times New Roman" w:cs="Times New Roman"/>
                <w:sz w:val="24"/>
                <w:szCs w:val="24"/>
                <w:lang w:val="cs-CZ"/>
              </w:rPr>
              <w:t xml:space="preserve"> </w:t>
            </w:r>
            <w:r w:rsidR="00D632D0" w:rsidRPr="00D632D0">
              <w:rPr>
                <w:rFonts w:ascii="Times New Roman" w:hAnsi="Times New Roman" w:cs="Times New Roman"/>
                <w:sz w:val="24"/>
                <w:szCs w:val="24"/>
                <w:lang w:val="cs-CZ"/>
              </w:rPr>
              <w:t>Pomoci migrantkám a prevenci domácího a genderově podmíněného násilí byla věnovaná i advokační činnost organizace SIMI na různých úrovních, přičemž nejzásadnější podněty připomínky byly v roce 2022 předloženy a zohledněny v rámci aktualizace Akčního plánu prevence a potírání domácího a genderově podmíněného násilí pro období 2023 – 2026.</w:t>
            </w:r>
          </w:p>
          <w:p w:rsidR="00A12BD9" w:rsidRPr="00CF5B13" w:rsidRDefault="00A12BD9" w:rsidP="00810DE9">
            <w:pPr>
              <w:jc w:val="both"/>
              <w:rPr>
                <w:rFonts w:ascii="Times New Roman" w:hAnsi="Times New Roman" w:cs="Times New Roman"/>
                <w:sz w:val="24"/>
                <w:szCs w:val="24"/>
                <w:lang w:val="cs-CZ"/>
              </w:rPr>
            </w:pPr>
          </w:p>
        </w:tc>
      </w:tr>
      <w:tr w:rsidR="00810DE9" w:rsidRPr="00CF5B13" w:rsidTr="00327664">
        <w:trPr>
          <w:trHeight w:val="992"/>
        </w:trPr>
        <w:tc>
          <w:tcPr>
            <w:tcW w:w="6799" w:type="dxa"/>
          </w:tcPr>
          <w:p w:rsidR="00810DE9" w:rsidRPr="00CF5B13" w:rsidRDefault="00810DE9" w:rsidP="00810DE9">
            <w:pPr>
              <w:jc w:val="both"/>
              <w:rPr>
                <w:rFonts w:ascii="Times New Roman" w:eastAsia="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t>3.4 Aktivně kandidovat na členství v Radě OSN pro lidská práva na léta 2025-2027.</w:t>
            </w:r>
          </w:p>
          <w:p w:rsidR="003A1790" w:rsidRPr="00CF5B13" w:rsidRDefault="003A1790" w:rsidP="00810DE9">
            <w:pPr>
              <w:jc w:val="both"/>
              <w:rPr>
                <w:rFonts w:ascii="Times New Roman" w:hAnsi="Times New Roman" w:cs="Times New Roman"/>
                <w:b/>
                <w:color w:val="4472C4" w:themeColor="accent5"/>
                <w:sz w:val="24"/>
                <w:szCs w:val="24"/>
                <w:lang w:val="cs-CZ"/>
              </w:rPr>
            </w:pPr>
            <w:r w:rsidRPr="00CF5B13">
              <w:rPr>
                <w:rFonts w:ascii="Times New Roman" w:hAnsi="Times New Roman" w:cs="Times New Roman"/>
                <w:b/>
                <w:color w:val="4472C4" w:themeColor="accent5"/>
                <w:sz w:val="24"/>
                <w:szCs w:val="24"/>
                <w:lang w:val="cs-CZ"/>
              </w:rPr>
              <w:t>(MZV)</w:t>
            </w:r>
          </w:p>
        </w:tc>
        <w:tc>
          <w:tcPr>
            <w:tcW w:w="3402" w:type="dxa"/>
          </w:tcPr>
          <w:p w:rsidR="00123D17" w:rsidRPr="00CF5B13" w:rsidRDefault="00123D17" w:rsidP="00123D17">
            <w:pPr>
              <w:rPr>
                <w:rFonts w:ascii="Times New Roman" w:eastAsia="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t>Plněno průběžně</w:t>
            </w:r>
          </w:p>
          <w:p w:rsidR="00810DE9" w:rsidRPr="00CF5B13" w:rsidRDefault="00810DE9" w:rsidP="00123D17">
            <w:pPr>
              <w:rPr>
                <w:rFonts w:ascii="Times New Roman" w:hAnsi="Times New Roman" w:cs="Times New Roman"/>
                <w:b/>
                <w:color w:val="4472C4" w:themeColor="accent5"/>
                <w:sz w:val="24"/>
                <w:szCs w:val="24"/>
                <w:lang w:val="cs-CZ"/>
              </w:rPr>
            </w:pPr>
          </w:p>
        </w:tc>
      </w:tr>
      <w:tr w:rsidR="00810DE9" w:rsidRPr="00412C4E" w:rsidTr="00331DE5">
        <w:tc>
          <w:tcPr>
            <w:tcW w:w="10201" w:type="dxa"/>
            <w:gridSpan w:val="2"/>
          </w:tcPr>
          <w:p w:rsidR="00810DE9" w:rsidRPr="00CF5B13" w:rsidRDefault="00541FE7" w:rsidP="00541FE7">
            <w:pPr>
              <w:autoSpaceDE w:val="0"/>
              <w:autoSpaceDN w:val="0"/>
              <w:adjustRightInd w:val="0"/>
              <w:jc w:val="both"/>
              <w:rPr>
                <w:rFonts w:ascii="Times New Roman" w:eastAsia="Calibri" w:hAnsi="Times New Roman" w:cs="Times New Roman"/>
                <w:sz w:val="24"/>
                <w:szCs w:val="24"/>
                <w:lang w:val="cs-CZ"/>
              </w:rPr>
            </w:pPr>
            <w:r w:rsidRPr="00CF5B13">
              <w:rPr>
                <w:rFonts w:ascii="Times New Roman" w:eastAsia="Calibri" w:hAnsi="Times New Roman" w:cs="Times New Roman"/>
                <w:bCs/>
                <w:color w:val="000000"/>
                <w:sz w:val="24"/>
                <w:szCs w:val="24"/>
                <w:lang w:val="cs-CZ"/>
              </w:rPr>
              <w:t>Cílem ČR je konzistentně a aktivně působit v Radě OSN pro lidská práva (RLP), a proto ČR rozhodla v roce 2019 o své další kandidatuře do RLP na období 2025 – 2027. Volby se uskuteční na podzim 2024 během zasedání Valného shromáždění OSN. Pro regionální skupinu východní Evropy jsou ve volbách vyhrazena celkem 2 místa, o která se v současnosti ucházejí dva kandidáti (kromě ČR ještě Severní Makedonie). V roce 2022 se česká kampaň soustředila především na získávání podpory ze strany členských států OSN.</w:t>
            </w:r>
            <w:r w:rsidR="003D3F12" w:rsidRPr="00CF5B13">
              <w:rPr>
                <w:rFonts w:ascii="Times New Roman" w:eastAsia="Calibri" w:hAnsi="Times New Roman" w:cs="Times New Roman"/>
                <w:bCs/>
                <w:color w:val="000000"/>
                <w:sz w:val="24"/>
                <w:szCs w:val="24"/>
                <w:lang w:val="cs-CZ"/>
              </w:rPr>
              <w:t xml:space="preserve"> </w:t>
            </w:r>
            <w:r w:rsidR="00327664" w:rsidRPr="00CF5B13">
              <w:rPr>
                <w:rFonts w:ascii="Times New Roman" w:eastAsia="Calibri" w:hAnsi="Times New Roman" w:cs="Times New Roman"/>
                <w:bCs/>
                <w:color w:val="000000"/>
                <w:sz w:val="24"/>
                <w:szCs w:val="24"/>
                <w:lang w:val="cs-CZ"/>
              </w:rPr>
              <w:t>Výchozí pozici před volbami si ČR upevňuje také tím, že v</w:t>
            </w:r>
            <w:r w:rsidR="003D3F12" w:rsidRPr="00CF5B13">
              <w:rPr>
                <w:rFonts w:ascii="Times New Roman" w:eastAsia="Calibri" w:hAnsi="Times New Roman" w:cs="Times New Roman"/>
                <w:sz w:val="24"/>
                <w:szCs w:val="24"/>
                <w:lang w:val="cs-CZ"/>
              </w:rPr>
              <w:t xml:space="preserve"> návaznosti na odebrání členských práv</w:t>
            </w:r>
            <w:r w:rsidRPr="00CF5B13">
              <w:rPr>
                <w:rFonts w:ascii="Times New Roman" w:eastAsia="Calibri" w:hAnsi="Times New Roman" w:cs="Times New Roman"/>
                <w:sz w:val="24"/>
                <w:szCs w:val="24"/>
                <w:lang w:val="cs-CZ"/>
              </w:rPr>
              <w:t xml:space="preserve"> v RLP</w:t>
            </w:r>
            <w:r w:rsidR="003D3F12" w:rsidRPr="00CF5B13">
              <w:rPr>
                <w:rFonts w:ascii="Times New Roman" w:eastAsia="Calibri" w:hAnsi="Times New Roman" w:cs="Times New Roman"/>
                <w:sz w:val="24"/>
                <w:szCs w:val="24"/>
                <w:lang w:val="cs-CZ"/>
              </w:rPr>
              <w:t xml:space="preserve"> Rusku a jeho následnou rezignaci </w:t>
            </w:r>
            <w:r w:rsidRPr="00CF5B13">
              <w:rPr>
                <w:rFonts w:ascii="Times New Roman" w:eastAsia="Calibri" w:hAnsi="Times New Roman" w:cs="Times New Roman"/>
                <w:sz w:val="24"/>
                <w:szCs w:val="24"/>
                <w:lang w:val="cs-CZ"/>
              </w:rPr>
              <w:t xml:space="preserve">předložila </w:t>
            </w:r>
            <w:r w:rsidR="003D3F12" w:rsidRPr="00CF5B13">
              <w:rPr>
                <w:rFonts w:ascii="Times New Roman" w:eastAsia="Calibri" w:hAnsi="Times New Roman" w:cs="Times New Roman"/>
                <w:sz w:val="24"/>
                <w:szCs w:val="24"/>
                <w:lang w:val="cs-CZ"/>
              </w:rPr>
              <w:t xml:space="preserve">ČR </w:t>
            </w:r>
            <w:r w:rsidRPr="00CF5B13">
              <w:rPr>
                <w:rFonts w:ascii="Times New Roman" w:eastAsia="Calibri" w:hAnsi="Times New Roman" w:cs="Times New Roman"/>
                <w:sz w:val="24"/>
                <w:szCs w:val="24"/>
                <w:lang w:val="cs-CZ"/>
              </w:rPr>
              <w:t xml:space="preserve">vlastní </w:t>
            </w:r>
            <w:r w:rsidR="003A1790" w:rsidRPr="00CF5B13">
              <w:rPr>
                <w:rFonts w:ascii="Times New Roman" w:eastAsia="Calibri" w:hAnsi="Times New Roman" w:cs="Times New Roman"/>
                <w:sz w:val="24"/>
                <w:szCs w:val="24"/>
                <w:lang w:val="cs-CZ"/>
              </w:rPr>
              <w:t xml:space="preserve">kandidaturu a </w:t>
            </w:r>
            <w:r w:rsidR="00327664" w:rsidRPr="00CF5B13">
              <w:rPr>
                <w:rFonts w:ascii="Times New Roman" w:eastAsia="Calibri" w:hAnsi="Times New Roman" w:cs="Times New Roman"/>
                <w:sz w:val="24"/>
                <w:szCs w:val="24"/>
                <w:lang w:val="cs-CZ"/>
              </w:rPr>
              <w:t xml:space="preserve">dne </w:t>
            </w:r>
            <w:r w:rsidR="003A1790" w:rsidRPr="00CF5B13">
              <w:rPr>
                <w:rFonts w:ascii="Times New Roman" w:eastAsia="Calibri" w:hAnsi="Times New Roman" w:cs="Times New Roman"/>
                <w:sz w:val="24"/>
                <w:szCs w:val="24"/>
                <w:lang w:val="cs-CZ"/>
              </w:rPr>
              <w:t xml:space="preserve">10. 5. </w:t>
            </w:r>
            <w:r w:rsidRPr="00CF5B13">
              <w:rPr>
                <w:rFonts w:ascii="Times New Roman" w:eastAsia="Calibri" w:hAnsi="Times New Roman" w:cs="Times New Roman"/>
                <w:sz w:val="24"/>
                <w:szCs w:val="24"/>
                <w:lang w:val="cs-CZ"/>
              </w:rPr>
              <w:t>2022</w:t>
            </w:r>
            <w:r w:rsidR="003D3F12" w:rsidRPr="00CF5B13">
              <w:rPr>
                <w:rFonts w:ascii="Times New Roman" w:eastAsia="Calibri" w:hAnsi="Times New Roman" w:cs="Times New Roman"/>
                <w:sz w:val="24"/>
                <w:szCs w:val="24"/>
                <w:lang w:val="cs-CZ"/>
              </w:rPr>
              <w:t xml:space="preserve"> byla zvolena </w:t>
            </w:r>
            <w:r w:rsidRPr="00CF5B13">
              <w:rPr>
                <w:rFonts w:ascii="Times New Roman" w:eastAsia="Calibri" w:hAnsi="Times New Roman" w:cs="Times New Roman"/>
                <w:sz w:val="24"/>
                <w:szCs w:val="24"/>
                <w:lang w:val="cs-CZ"/>
              </w:rPr>
              <w:t xml:space="preserve">do RLP </w:t>
            </w:r>
            <w:r w:rsidR="003D3F12" w:rsidRPr="00CF5B13">
              <w:rPr>
                <w:rFonts w:ascii="Times New Roman" w:eastAsia="Calibri" w:hAnsi="Times New Roman" w:cs="Times New Roman"/>
                <w:sz w:val="24"/>
                <w:szCs w:val="24"/>
                <w:lang w:val="cs-CZ"/>
              </w:rPr>
              <w:t>na zbytek funkčního období Ruska, tj. do konce roku 2023.</w:t>
            </w:r>
          </w:p>
          <w:p w:rsidR="00130EA3" w:rsidRPr="00CF5B13" w:rsidRDefault="00130EA3" w:rsidP="00541FE7">
            <w:pPr>
              <w:autoSpaceDE w:val="0"/>
              <w:autoSpaceDN w:val="0"/>
              <w:adjustRightInd w:val="0"/>
              <w:jc w:val="both"/>
              <w:rPr>
                <w:rFonts w:ascii="Times New Roman" w:eastAsia="Calibri" w:hAnsi="Times New Roman" w:cs="Times New Roman"/>
                <w:bCs/>
                <w:color w:val="000000"/>
                <w:sz w:val="24"/>
                <w:szCs w:val="24"/>
                <w:lang w:val="cs-CZ"/>
              </w:rPr>
            </w:pPr>
          </w:p>
        </w:tc>
      </w:tr>
      <w:tr w:rsidR="00810DE9" w:rsidRPr="00CF5B13" w:rsidTr="00327664">
        <w:trPr>
          <w:trHeight w:val="899"/>
        </w:trPr>
        <w:tc>
          <w:tcPr>
            <w:tcW w:w="6799" w:type="dxa"/>
          </w:tcPr>
          <w:p w:rsidR="00810DE9" w:rsidRPr="00CF5B13" w:rsidRDefault="00810DE9" w:rsidP="00810DE9">
            <w:pPr>
              <w:jc w:val="both"/>
              <w:rPr>
                <w:rFonts w:ascii="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lastRenderedPageBreak/>
              <w:t>3.4 V rámci Univerzálního periodického přezkumu zajistit reflektování genderové problematiky do národních doporučení. (MZV)</w:t>
            </w:r>
          </w:p>
        </w:tc>
        <w:tc>
          <w:tcPr>
            <w:tcW w:w="3402" w:type="dxa"/>
          </w:tcPr>
          <w:p w:rsidR="00123D17" w:rsidRPr="00CF5B13" w:rsidRDefault="00123D17" w:rsidP="00123D17">
            <w:pPr>
              <w:jc w:val="both"/>
              <w:rPr>
                <w:rFonts w:ascii="Times New Roman" w:eastAsia="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t>Plněno průběžně</w:t>
            </w:r>
          </w:p>
          <w:p w:rsidR="00A94942" w:rsidRPr="00CF5B13" w:rsidRDefault="00A94942" w:rsidP="00123D17">
            <w:pPr>
              <w:rPr>
                <w:rFonts w:ascii="Times New Roman" w:hAnsi="Times New Roman" w:cs="Times New Roman"/>
                <w:b/>
                <w:color w:val="4472C4" w:themeColor="accent5"/>
                <w:sz w:val="24"/>
                <w:szCs w:val="24"/>
                <w:lang w:val="cs-CZ"/>
              </w:rPr>
            </w:pPr>
          </w:p>
        </w:tc>
      </w:tr>
      <w:tr w:rsidR="00810DE9" w:rsidRPr="00412C4E" w:rsidTr="00331DE5">
        <w:tc>
          <w:tcPr>
            <w:tcW w:w="10201" w:type="dxa"/>
            <w:gridSpan w:val="2"/>
          </w:tcPr>
          <w:p w:rsidR="00810DE9" w:rsidRPr="00CF5B13" w:rsidRDefault="003616F7" w:rsidP="00123D17">
            <w:pPr>
              <w:autoSpaceDE w:val="0"/>
              <w:autoSpaceDN w:val="0"/>
              <w:adjustRightInd w:val="0"/>
              <w:jc w:val="both"/>
              <w:rPr>
                <w:rFonts w:ascii="Times New Roman" w:hAnsi="Times New Roman" w:cs="Times New Roman"/>
                <w:sz w:val="24"/>
                <w:szCs w:val="24"/>
                <w:lang w:val="cs-CZ"/>
              </w:rPr>
            </w:pPr>
            <w:r w:rsidRPr="00CF5B13">
              <w:rPr>
                <w:rFonts w:ascii="Times New Roman" w:hAnsi="Times New Roman" w:cs="Times New Roman"/>
                <w:sz w:val="24"/>
                <w:szCs w:val="24"/>
                <w:lang w:val="cs-CZ"/>
              </w:rPr>
              <w:t xml:space="preserve"> </w:t>
            </w:r>
            <w:r w:rsidR="00123D17" w:rsidRPr="00CF5B13">
              <w:rPr>
                <w:rFonts w:ascii="Times New Roman" w:hAnsi="Times New Roman" w:cs="Times New Roman"/>
                <w:bCs/>
                <w:color w:val="000000"/>
                <w:sz w:val="24"/>
                <w:szCs w:val="24"/>
                <w:lang w:val="cs-CZ"/>
              </w:rPr>
              <w:t>V souladu s </w:t>
            </w:r>
            <w:r w:rsidR="00123D17" w:rsidRPr="00CF5B13">
              <w:rPr>
                <w:rFonts w:ascii="Times New Roman" w:hAnsi="Times New Roman" w:cs="Times New Roman"/>
                <w:bCs/>
                <w:i/>
                <w:color w:val="000000"/>
                <w:sz w:val="24"/>
                <w:szCs w:val="24"/>
                <w:lang w:val="cs-CZ"/>
              </w:rPr>
              <w:t xml:space="preserve">Koncepcí lidských práv a transformační spolupráce </w:t>
            </w:r>
            <w:r w:rsidR="00123D17" w:rsidRPr="00CF5B13">
              <w:rPr>
                <w:rFonts w:ascii="Times New Roman" w:hAnsi="Times New Roman" w:cs="Times New Roman"/>
                <w:bCs/>
                <w:color w:val="000000"/>
                <w:sz w:val="24"/>
                <w:szCs w:val="24"/>
                <w:lang w:val="cs-CZ"/>
              </w:rPr>
              <w:t>(2015) ČR aktivně vystupuje s doporučeními ke zlepšení lidských práv ve členských státech OSN v rámci Univerzálního periodického přezkumu. Genderová problematika je v českých doporučeních pravidelně reflektována v závislosti na lidskoprávní situaci v cílové zemi. V roce 2022 byla česká doporučení zaměřena mj. na zvyšování participace žen na veřejném a politickém životě (Litva), ochranu práv žen (Polsko), genderovou diskriminaci (Bahrajn, Jihoafrická republika, Zimbabwe, Sýrie), či boj proti sexuálnímu a genderově podmíněnému násilí (Brazílie, Jihoafrická republika, Moldavsko, Súdán).</w:t>
            </w:r>
          </w:p>
          <w:p w:rsidR="00123D17" w:rsidRPr="00CF5B13" w:rsidRDefault="00123D17" w:rsidP="00123D17">
            <w:pPr>
              <w:autoSpaceDE w:val="0"/>
              <w:autoSpaceDN w:val="0"/>
              <w:adjustRightInd w:val="0"/>
              <w:spacing w:after="100" w:afterAutospacing="1"/>
              <w:jc w:val="both"/>
              <w:rPr>
                <w:rFonts w:ascii="Times New Roman" w:hAnsi="Times New Roman" w:cs="Times New Roman"/>
                <w:sz w:val="24"/>
                <w:szCs w:val="24"/>
                <w:lang w:val="cs-CZ"/>
              </w:rPr>
            </w:pPr>
          </w:p>
        </w:tc>
      </w:tr>
      <w:tr w:rsidR="00810DE9" w:rsidRPr="00CF5B13" w:rsidTr="00654EF8">
        <w:trPr>
          <w:trHeight w:val="873"/>
        </w:trPr>
        <w:tc>
          <w:tcPr>
            <w:tcW w:w="6799" w:type="dxa"/>
          </w:tcPr>
          <w:p w:rsidR="003A1790" w:rsidRPr="00CF5B13" w:rsidRDefault="00810DE9" w:rsidP="00810DE9">
            <w:pPr>
              <w:jc w:val="both"/>
              <w:rPr>
                <w:rFonts w:ascii="Times New Roman" w:eastAsia="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t xml:space="preserve">3.5 V rámci působení ČR v RLP aktivně podporovat participaci žen a občanské společnosti v rezolucích. </w:t>
            </w:r>
          </w:p>
          <w:p w:rsidR="00810DE9" w:rsidRPr="00CF5B13" w:rsidRDefault="00810DE9" w:rsidP="00654EF8">
            <w:pPr>
              <w:spacing w:after="120"/>
              <w:jc w:val="both"/>
              <w:rPr>
                <w:rFonts w:ascii="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t>(MZV)</w:t>
            </w:r>
          </w:p>
        </w:tc>
        <w:tc>
          <w:tcPr>
            <w:tcW w:w="3402" w:type="dxa"/>
          </w:tcPr>
          <w:p w:rsidR="00123D17" w:rsidRPr="00CF5B13" w:rsidRDefault="00123D17" w:rsidP="00123D17">
            <w:pPr>
              <w:jc w:val="both"/>
              <w:rPr>
                <w:rFonts w:ascii="Times New Roman" w:eastAsia="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t>Plněno průběžně</w:t>
            </w:r>
          </w:p>
          <w:p w:rsidR="00A94942" w:rsidRPr="00CF5B13" w:rsidRDefault="00A94942" w:rsidP="00123D17">
            <w:pPr>
              <w:rPr>
                <w:rFonts w:ascii="Times New Roman" w:hAnsi="Times New Roman" w:cs="Times New Roman"/>
                <w:color w:val="4472C4" w:themeColor="accent5"/>
                <w:sz w:val="24"/>
                <w:szCs w:val="24"/>
                <w:lang w:val="cs-CZ"/>
              </w:rPr>
            </w:pPr>
          </w:p>
        </w:tc>
      </w:tr>
      <w:tr w:rsidR="00810DE9" w:rsidRPr="00412C4E" w:rsidTr="00331DE5">
        <w:tc>
          <w:tcPr>
            <w:tcW w:w="10201" w:type="dxa"/>
            <w:gridSpan w:val="2"/>
          </w:tcPr>
          <w:p w:rsidR="00123D17" w:rsidRPr="00CF5B13" w:rsidRDefault="003616F7" w:rsidP="00123D17">
            <w:pPr>
              <w:autoSpaceDE w:val="0"/>
              <w:autoSpaceDN w:val="0"/>
              <w:adjustRightInd w:val="0"/>
              <w:jc w:val="both"/>
              <w:rPr>
                <w:rFonts w:ascii="Times New Roman" w:eastAsia="Times New Roman" w:hAnsi="Times New Roman" w:cs="Times New Roman"/>
                <w:sz w:val="24"/>
                <w:szCs w:val="24"/>
                <w:lang w:val="cs-CZ"/>
              </w:rPr>
            </w:pPr>
            <w:r w:rsidRPr="00CF5B13">
              <w:rPr>
                <w:rFonts w:ascii="Times New Roman" w:eastAsia="Calibri" w:hAnsi="Times New Roman" w:cs="Times New Roman"/>
                <w:i/>
                <w:iCs/>
                <w:sz w:val="24"/>
                <w:szCs w:val="24"/>
                <w:lang w:val="cs-CZ"/>
              </w:rPr>
              <w:t xml:space="preserve"> </w:t>
            </w:r>
            <w:r w:rsidR="003D3F12" w:rsidRPr="00CF5B13">
              <w:rPr>
                <w:rFonts w:ascii="Times New Roman" w:eastAsia="Calibri" w:hAnsi="Times New Roman" w:cs="Times New Roman"/>
                <w:sz w:val="24"/>
                <w:szCs w:val="24"/>
                <w:lang w:val="cs-CZ"/>
              </w:rPr>
              <w:t xml:space="preserve"> </w:t>
            </w:r>
            <w:r w:rsidR="00123D17" w:rsidRPr="00CF5B13">
              <w:rPr>
                <w:rFonts w:ascii="Times New Roman" w:eastAsia="Times New Roman" w:hAnsi="Times New Roman" w:cs="Times New Roman"/>
                <w:sz w:val="24"/>
                <w:szCs w:val="24"/>
                <w:lang w:val="cs-CZ"/>
              </w:rPr>
              <w:t xml:space="preserve">Při svém působení v RLP ČR jedná v souladu s </w:t>
            </w:r>
            <w:r w:rsidR="00123D17" w:rsidRPr="00CF5B13">
              <w:rPr>
                <w:rFonts w:ascii="Times New Roman" w:hAnsi="Times New Roman" w:cs="Times New Roman"/>
                <w:bCs/>
                <w:i/>
                <w:color w:val="000000"/>
                <w:sz w:val="24"/>
                <w:szCs w:val="24"/>
                <w:lang w:val="cs-CZ"/>
              </w:rPr>
              <w:t xml:space="preserve">Koncepcí lidských práv a transformační spolupráce </w:t>
            </w:r>
            <w:r w:rsidR="00123D17" w:rsidRPr="00CF5B13">
              <w:rPr>
                <w:rFonts w:ascii="Times New Roman" w:hAnsi="Times New Roman" w:cs="Times New Roman"/>
                <w:bCs/>
                <w:color w:val="000000"/>
                <w:sz w:val="24"/>
                <w:szCs w:val="24"/>
                <w:lang w:val="cs-CZ"/>
              </w:rPr>
              <w:t>(2015) a usiluje tedy o celosvětové posílení postavení žen ve společnosti, především v otázkách spojených s účastí žen na veřejném životě. V roce 2022 ČR mj. jako člen RLP podpořila rezoluci k </w:t>
            </w:r>
            <w:r w:rsidR="00327664" w:rsidRPr="00CF5B13">
              <w:rPr>
                <w:rFonts w:ascii="Times New Roman" w:hAnsi="Times New Roman" w:cs="Times New Roman"/>
                <w:bCs/>
                <w:color w:val="000000"/>
                <w:sz w:val="24"/>
                <w:szCs w:val="24"/>
                <w:lang w:val="cs-CZ"/>
              </w:rPr>
              <w:t>e</w:t>
            </w:r>
            <w:r w:rsidR="00123D17" w:rsidRPr="00CF5B13">
              <w:rPr>
                <w:rFonts w:ascii="Times New Roman" w:hAnsi="Times New Roman" w:cs="Times New Roman"/>
                <w:bCs/>
                <w:color w:val="000000"/>
                <w:sz w:val="24"/>
                <w:szCs w:val="24"/>
                <w:lang w:val="cs-CZ"/>
              </w:rPr>
              <w:t>liminaci všech forem diskriminace žen a dívek, přijat</w:t>
            </w:r>
            <w:r w:rsidR="00327664" w:rsidRPr="00CF5B13">
              <w:rPr>
                <w:rFonts w:ascii="Times New Roman" w:hAnsi="Times New Roman" w:cs="Times New Roman"/>
                <w:bCs/>
                <w:color w:val="000000"/>
                <w:sz w:val="24"/>
                <w:szCs w:val="24"/>
                <w:lang w:val="cs-CZ"/>
              </w:rPr>
              <w:t>ou</w:t>
            </w:r>
            <w:r w:rsidR="00123D17" w:rsidRPr="00CF5B13">
              <w:rPr>
                <w:rFonts w:ascii="Times New Roman" w:hAnsi="Times New Roman" w:cs="Times New Roman"/>
                <w:bCs/>
                <w:color w:val="000000"/>
                <w:sz w:val="24"/>
                <w:szCs w:val="24"/>
                <w:lang w:val="cs-CZ"/>
              </w:rPr>
              <w:t xml:space="preserve"> na 50. zasedání R</w:t>
            </w:r>
            <w:r w:rsidR="00327664" w:rsidRPr="00CF5B13">
              <w:rPr>
                <w:rFonts w:ascii="Times New Roman" w:hAnsi="Times New Roman" w:cs="Times New Roman"/>
                <w:bCs/>
                <w:color w:val="000000"/>
                <w:sz w:val="24"/>
                <w:szCs w:val="24"/>
                <w:lang w:val="cs-CZ"/>
              </w:rPr>
              <w:t>LP</w:t>
            </w:r>
            <w:r w:rsidR="00123D17" w:rsidRPr="00CF5B13">
              <w:rPr>
                <w:rFonts w:ascii="Times New Roman" w:hAnsi="Times New Roman" w:cs="Times New Roman"/>
                <w:bCs/>
                <w:color w:val="000000"/>
                <w:sz w:val="24"/>
                <w:szCs w:val="24"/>
                <w:lang w:val="cs-CZ"/>
              </w:rPr>
              <w:t xml:space="preserve"> v červenci 2022, či teritoriálně zaměřené rezoluce odkazující na nutnost posílení postavení žen (např. rezoluce k lidským právům v Afghánistánu a Etiopii přijaté na 51. zasedání RLP v září 2022). ČR také podpořila rezoluci prodlužující mandát Zvláštního zpravodaje k násilí na ženách a dívkách přijat</w:t>
            </w:r>
            <w:r w:rsidR="007A73E1" w:rsidRPr="00CF5B13">
              <w:rPr>
                <w:rFonts w:ascii="Times New Roman" w:hAnsi="Times New Roman" w:cs="Times New Roman"/>
                <w:bCs/>
                <w:color w:val="000000"/>
                <w:sz w:val="24"/>
                <w:szCs w:val="24"/>
                <w:lang w:val="cs-CZ"/>
              </w:rPr>
              <w:t>ou</w:t>
            </w:r>
            <w:r w:rsidR="00123D17" w:rsidRPr="00CF5B13">
              <w:rPr>
                <w:rFonts w:ascii="Times New Roman" w:hAnsi="Times New Roman" w:cs="Times New Roman"/>
                <w:bCs/>
                <w:color w:val="000000"/>
                <w:sz w:val="24"/>
                <w:szCs w:val="24"/>
                <w:lang w:val="cs-CZ"/>
              </w:rPr>
              <w:t xml:space="preserve"> na 50. zasedání R</w:t>
            </w:r>
            <w:r w:rsidR="00327664" w:rsidRPr="00CF5B13">
              <w:rPr>
                <w:rFonts w:ascii="Times New Roman" w:hAnsi="Times New Roman" w:cs="Times New Roman"/>
                <w:bCs/>
                <w:color w:val="000000"/>
                <w:sz w:val="24"/>
                <w:szCs w:val="24"/>
                <w:lang w:val="cs-CZ"/>
              </w:rPr>
              <w:t>LP</w:t>
            </w:r>
            <w:r w:rsidR="00123D17" w:rsidRPr="00CF5B13">
              <w:rPr>
                <w:rFonts w:ascii="Times New Roman" w:hAnsi="Times New Roman" w:cs="Times New Roman"/>
                <w:bCs/>
                <w:color w:val="000000"/>
                <w:sz w:val="24"/>
                <w:szCs w:val="24"/>
                <w:lang w:val="cs-CZ"/>
              </w:rPr>
              <w:t>.</w:t>
            </w:r>
          </w:p>
          <w:p w:rsidR="00810DE9" w:rsidRPr="00CF5B13" w:rsidRDefault="00810DE9" w:rsidP="00327664">
            <w:pPr>
              <w:snapToGrid w:val="0"/>
              <w:jc w:val="both"/>
              <w:rPr>
                <w:rFonts w:ascii="Times New Roman" w:eastAsia="Calibri" w:hAnsi="Times New Roman" w:cs="Times New Roman"/>
                <w:sz w:val="24"/>
                <w:szCs w:val="24"/>
                <w:lang w:val="cs-CZ"/>
              </w:rPr>
            </w:pPr>
          </w:p>
        </w:tc>
      </w:tr>
      <w:tr w:rsidR="00810DE9" w:rsidRPr="00CF5B13" w:rsidTr="00D0567C">
        <w:tc>
          <w:tcPr>
            <w:tcW w:w="6799" w:type="dxa"/>
          </w:tcPr>
          <w:p w:rsidR="00810DE9" w:rsidRPr="00CF5B13" w:rsidRDefault="00810DE9" w:rsidP="00327664">
            <w:pPr>
              <w:spacing w:after="120"/>
              <w:jc w:val="both"/>
              <w:rPr>
                <w:rFonts w:ascii="Times New Roman" w:hAnsi="Times New Roman" w:cs="Times New Roman"/>
                <w:b/>
                <w:sz w:val="24"/>
                <w:szCs w:val="24"/>
                <w:lang w:val="cs-CZ"/>
              </w:rPr>
            </w:pPr>
            <w:r w:rsidRPr="00CF5B13">
              <w:rPr>
                <w:rFonts w:ascii="Times New Roman" w:eastAsia="Times New Roman" w:hAnsi="Times New Roman" w:cs="Times New Roman"/>
                <w:b/>
                <w:color w:val="4472C4" w:themeColor="accent5"/>
                <w:sz w:val="24"/>
                <w:szCs w:val="24"/>
                <w:lang w:val="cs-CZ"/>
              </w:rPr>
              <w:t>3.6 V rámci působení ČR v RLP aktivně podporovat participaci žen a občanské společnosti v rámci národních iniciativ ČR. (MZV)</w:t>
            </w:r>
          </w:p>
        </w:tc>
        <w:tc>
          <w:tcPr>
            <w:tcW w:w="3402" w:type="dxa"/>
          </w:tcPr>
          <w:p w:rsidR="00123D17" w:rsidRPr="00CF5B13" w:rsidRDefault="00123D17" w:rsidP="00123D17">
            <w:pPr>
              <w:jc w:val="both"/>
              <w:rPr>
                <w:rFonts w:ascii="Times New Roman" w:hAnsi="Times New Roman" w:cs="Times New Roman"/>
                <w:b/>
                <w:color w:val="4472C4" w:themeColor="accent5"/>
                <w:sz w:val="24"/>
                <w:szCs w:val="24"/>
                <w:lang w:val="cs-CZ"/>
              </w:rPr>
            </w:pPr>
            <w:r w:rsidRPr="00CF5B13">
              <w:rPr>
                <w:rFonts w:ascii="Times New Roman" w:hAnsi="Times New Roman" w:cs="Times New Roman"/>
                <w:b/>
                <w:color w:val="4472C4" w:themeColor="accent5"/>
                <w:sz w:val="24"/>
                <w:szCs w:val="24"/>
                <w:lang w:val="cs-CZ"/>
              </w:rPr>
              <w:t>Plněno průběžně</w:t>
            </w:r>
          </w:p>
          <w:p w:rsidR="00A94942" w:rsidRPr="00CF5B13" w:rsidRDefault="00A94942" w:rsidP="00123D17">
            <w:pPr>
              <w:rPr>
                <w:rFonts w:ascii="Times New Roman" w:hAnsi="Times New Roman" w:cs="Times New Roman"/>
                <w:sz w:val="24"/>
                <w:szCs w:val="24"/>
                <w:lang w:val="cs-CZ"/>
              </w:rPr>
            </w:pPr>
          </w:p>
        </w:tc>
      </w:tr>
      <w:tr w:rsidR="00810DE9" w:rsidRPr="00412C4E" w:rsidTr="00331DE5">
        <w:tc>
          <w:tcPr>
            <w:tcW w:w="10201" w:type="dxa"/>
            <w:gridSpan w:val="2"/>
          </w:tcPr>
          <w:p w:rsidR="00810DE9" w:rsidRPr="00CF5B13" w:rsidRDefault="003616F7" w:rsidP="00654EF8">
            <w:pPr>
              <w:autoSpaceDE w:val="0"/>
              <w:autoSpaceDN w:val="0"/>
              <w:adjustRightInd w:val="0"/>
              <w:jc w:val="both"/>
              <w:rPr>
                <w:rFonts w:ascii="Times New Roman" w:hAnsi="Times New Roman" w:cs="Times New Roman"/>
                <w:sz w:val="24"/>
                <w:szCs w:val="24"/>
                <w:lang w:val="cs-CZ"/>
              </w:rPr>
            </w:pPr>
            <w:r w:rsidRPr="00CF5B13">
              <w:rPr>
                <w:rFonts w:ascii="Times New Roman" w:eastAsia="Calibri" w:hAnsi="Times New Roman" w:cs="Times New Roman"/>
                <w:sz w:val="24"/>
                <w:szCs w:val="24"/>
                <w:lang w:val="cs-CZ"/>
              </w:rPr>
              <w:t xml:space="preserve"> </w:t>
            </w:r>
            <w:r w:rsidR="00123D17" w:rsidRPr="00CF5B13">
              <w:rPr>
                <w:rFonts w:ascii="Times New Roman" w:hAnsi="Times New Roman" w:cs="Times New Roman"/>
                <w:bCs/>
                <w:color w:val="000000"/>
                <w:sz w:val="24"/>
                <w:szCs w:val="24"/>
                <w:lang w:val="cs-CZ"/>
              </w:rPr>
              <w:t xml:space="preserve">ČR </w:t>
            </w:r>
            <w:r w:rsidR="00327664" w:rsidRPr="00CF5B13">
              <w:rPr>
                <w:rFonts w:ascii="Times New Roman" w:hAnsi="Times New Roman" w:cs="Times New Roman"/>
                <w:bCs/>
                <w:color w:val="000000"/>
                <w:sz w:val="24"/>
                <w:szCs w:val="24"/>
                <w:lang w:val="cs-CZ"/>
              </w:rPr>
              <w:t xml:space="preserve">se </w:t>
            </w:r>
            <w:r w:rsidR="00123D17" w:rsidRPr="00CF5B13">
              <w:rPr>
                <w:rFonts w:ascii="Times New Roman" w:hAnsi="Times New Roman" w:cs="Times New Roman"/>
                <w:bCs/>
                <w:color w:val="000000"/>
                <w:sz w:val="24"/>
                <w:szCs w:val="24"/>
                <w:lang w:val="cs-CZ"/>
              </w:rPr>
              <w:t>v rámci národních iniciativ v RLP soustředí</w:t>
            </w:r>
            <w:r w:rsidR="00327664" w:rsidRPr="00CF5B13">
              <w:rPr>
                <w:rFonts w:ascii="Times New Roman" w:hAnsi="Times New Roman" w:cs="Times New Roman"/>
                <w:bCs/>
                <w:color w:val="000000"/>
                <w:sz w:val="24"/>
                <w:szCs w:val="24"/>
                <w:lang w:val="cs-CZ"/>
              </w:rPr>
              <w:t xml:space="preserve"> také</w:t>
            </w:r>
            <w:r w:rsidR="00123D17" w:rsidRPr="00CF5B13">
              <w:rPr>
                <w:rFonts w:ascii="Times New Roman" w:hAnsi="Times New Roman" w:cs="Times New Roman"/>
                <w:bCs/>
                <w:color w:val="000000"/>
                <w:sz w:val="24"/>
                <w:szCs w:val="24"/>
                <w:lang w:val="cs-CZ"/>
              </w:rPr>
              <w:t xml:space="preserve"> na podporu participace žen a občanské společnosti. </w:t>
            </w:r>
            <w:r w:rsidR="00123D17" w:rsidRPr="00CF5B13">
              <w:rPr>
                <w:rFonts w:ascii="Times New Roman" w:eastAsia="Times New Roman" w:hAnsi="Times New Roman" w:cs="Times New Roman"/>
                <w:sz w:val="24"/>
                <w:szCs w:val="24"/>
                <w:lang w:val="cs-CZ"/>
              </w:rPr>
              <w:t>Na 50. zasedání RLP v červenci 2022 ČR jako hlavní předkladatel (spolu s Indonésií, Litvou, Maledivami, Mexikem a USA) předložila rezoluci</w:t>
            </w:r>
            <w:r w:rsidR="00654EF8" w:rsidRPr="00CF5B13">
              <w:rPr>
                <w:rFonts w:ascii="Times New Roman" w:eastAsia="Times New Roman" w:hAnsi="Times New Roman" w:cs="Times New Roman"/>
                <w:sz w:val="24"/>
                <w:szCs w:val="24"/>
                <w:lang w:val="cs-CZ"/>
              </w:rPr>
              <w:t xml:space="preserve"> (přijatou konsensem)</w:t>
            </w:r>
            <w:r w:rsidR="00123D17" w:rsidRPr="00CF5B13">
              <w:rPr>
                <w:rFonts w:ascii="Times New Roman" w:eastAsia="Times New Roman" w:hAnsi="Times New Roman" w:cs="Times New Roman"/>
                <w:sz w:val="24"/>
                <w:szCs w:val="24"/>
                <w:lang w:val="cs-CZ"/>
              </w:rPr>
              <w:t xml:space="preserve"> k </w:t>
            </w:r>
            <w:r w:rsidR="00327664" w:rsidRPr="00CF5B13">
              <w:rPr>
                <w:rFonts w:ascii="Times New Roman" w:eastAsia="Times New Roman" w:hAnsi="Times New Roman" w:cs="Times New Roman"/>
                <w:sz w:val="24"/>
                <w:szCs w:val="24"/>
                <w:lang w:val="cs-CZ"/>
              </w:rPr>
              <w:t>p</w:t>
            </w:r>
            <w:r w:rsidR="00123D17" w:rsidRPr="00CF5B13">
              <w:rPr>
                <w:rFonts w:ascii="Times New Roman" w:eastAsia="Times New Roman" w:hAnsi="Times New Roman" w:cs="Times New Roman"/>
                <w:sz w:val="24"/>
                <w:szCs w:val="24"/>
                <w:lang w:val="cs-CZ"/>
              </w:rPr>
              <w:t xml:space="preserve">rávu na svobodu k pokojnému sdružování a shromažďování, která nabádá státy k podpoře diverzifikované občanské společnosti, včetně participace žen v ní. </w:t>
            </w:r>
            <w:r w:rsidR="000D44ED" w:rsidRPr="00CF5B13">
              <w:rPr>
                <w:rFonts w:ascii="Times New Roman" w:hAnsi="Times New Roman" w:cs="Times New Roman"/>
                <w:sz w:val="24"/>
                <w:szCs w:val="24"/>
                <w:lang w:val="cs-CZ"/>
              </w:rPr>
              <w:t>ČR dále pokračovala v podpoře iniciativ zaměřených na boj proti dlouhodobým překážkám bránícím participaci žen a dívek (</w:t>
            </w:r>
            <w:r w:rsidR="00E42C68" w:rsidRPr="00CF5B13">
              <w:rPr>
                <w:rFonts w:ascii="Times New Roman" w:hAnsi="Times New Roman" w:cs="Times New Roman"/>
                <w:sz w:val="24"/>
                <w:szCs w:val="24"/>
                <w:lang w:val="cs-CZ"/>
              </w:rPr>
              <w:t xml:space="preserve">rez. </w:t>
            </w:r>
            <w:r w:rsidR="000D44ED" w:rsidRPr="00CF5B13">
              <w:rPr>
                <w:rFonts w:ascii="Times New Roman" w:hAnsi="Times New Roman" w:cs="Times New Roman"/>
                <w:sz w:val="24"/>
                <w:szCs w:val="24"/>
                <w:lang w:val="cs-CZ"/>
              </w:rPr>
              <w:t xml:space="preserve">50/7 k násilí na ženách a dívkách, </w:t>
            </w:r>
            <w:r w:rsidR="00E42C68" w:rsidRPr="00CF5B13">
              <w:rPr>
                <w:rFonts w:ascii="Times New Roman" w:hAnsi="Times New Roman" w:cs="Times New Roman"/>
                <w:sz w:val="24"/>
                <w:szCs w:val="24"/>
                <w:lang w:val="cs-CZ"/>
              </w:rPr>
              <w:t xml:space="preserve">rez. </w:t>
            </w:r>
            <w:r w:rsidR="000D44ED" w:rsidRPr="00CF5B13">
              <w:rPr>
                <w:rFonts w:ascii="Times New Roman" w:hAnsi="Times New Roman" w:cs="Times New Roman"/>
                <w:sz w:val="24"/>
                <w:szCs w:val="24"/>
                <w:lang w:val="cs-CZ"/>
              </w:rPr>
              <w:t xml:space="preserve">50/10 k diskriminaci založené na sexuální orientaci a genderové identitě a </w:t>
            </w:r>
            <w:r w:rsidR="00E42C68" w:rsidRPr="00CF5B13">
              <w:rPr>
                <w:rFonts w:ascii="Times New Roman" w:hAnsi="Times New Roman" w:cs="Times New Roman"/>
                <w:sz w:val="24"/>
                <w:szCs w:val="24"/>
                <w:lang w:val="cs-CZ"/>
              </w:rPr>
              <w:t xml:space="preserve">rez. </w:t>
            </w:r>
            <w:r w:rsidR="000D44ED" w:rsidRPr="00CF5B13">
              <w:rPr>
                <w:rFonts w:ascii="Times New Roman" w:hAnsi="Times New Roman" w:cs="Times New Roman"/>
                <w:sz w:val="24"/>
                <w:szCs w:val="24"/>
                <w:lang w:val="cs-CZ"/>
              </w:rPr>
              <w:t>50/18 k diskriminaci žen a dívek).</w:t>
            </w:r>
          </w:p>
        </w:tc>
      </w:tr>
    </w:tbl>
    <w:p w:rsidR="00B83C40" w:rsidRDefault="00B83C40" w:rsidP="000901DC">
      <w:pPr>
        <w:pStyle w:val="Nadpis1"/>
        <w:spacing w:before="120"/>
        <w:ind w:left="720" w:right="-800"/>
        <w:rPr>
          <w:lang w:val="cs-CZ"/>
        </w:rPr>
      </w:pPr>
    </w:p>
    <w:p w:rsidR="00B83C40" w:rsidRDefault="00B83C40">
      <w:pPr>
        <w:rPr>
          <w:rFonts w:ascii="Times New Roman" w:eastAsiaTheme="majorEastAsia" w:hAnsi="Times New Roman" w:cstheme="majorBidi"/>
          <w:b/>
          <w:sz w:val="32"/>
          <w:szCs w:val="32"/>
          <w:u w:val="single"/>
          <w:lang w:val="cs-CZ"/>
        </w:rPr>
      </w:pPr>
      <w:r>
        <w:rPr>
          <w:lang w:val="cs-CZ"/>
        </w:rPr>
        <w:br w:type="page"/>
      </w:r>
    </w:p>
    <w:p w:rsidR="00806259" w:rsidRPr="00CF5B13" w:rsidRDefault="00A917CE" w:rsidP="000901DC">
      <w:pPr>
        <w:pStyle w:val="Nadpis1"/>
        <w:numPr>
          <w:ilvl w:val="0"/>
          <w:numId w:val="10"/>
        </w:numPr>
        <w:spacing w:before="120"/>
        <w:ind w:right="-800"/>
        <w:rPr>
          <w:lang w:val="cs-CZ"/>
        </w:rPr>
      </w:pPr>
      <w:bookmarkStart w:id="9" w:name="_Toc134015676"/>
      <w:r w:rsidRPr="00CF5B13">
        <w:rPr>
          <w:lang w:val="cs-CZ"/>
        </w:rPr>
        <w:lastRenderedPageBreak/>
        <w:t>Asistence a obnova</w:t>
      </w:r>
      <w:bookmarkEnd w:id="9"/>
      <w:r w:rsidRPr="00CF5B13">
        <w:rPr>
          <w:lang w:val="cs-CZ"/>
        </w:rPr>
        <w:t xml:space="preserve">  </w:t>
      </w:r>
    </w:p>
    <w:p w:rsidR="00A917CE" w:rsidRPr="00CF5B13" w:rsidRDefault="00A917CE" w:rsidP="00A917CE">
      <w:pPr>
        <w:rPr>
          <w:lang w:val="cs-CZ"/>
        </w:rPr>
      </w:pPr>
    </w:p>
    <w:p w:rsidR="00B20DCC" w:rsidRPr="00CF5B13" w:rsidRDefault="0087625A" w:rsidP="003B2FE7">
      <w:pPr>
        <w:spacing w:after="240"/>
        <w:ind w:right="-800"/>
        <w:rPr>
          <w:rFonts w:ascii="Times New Roman" w:hAnsi="Times New Roman" w:cs="Times New Roman"/>
          <w:b/>
          <w:sz w:val="24"/>
          <w:szCs w:val="24"/>
          <w:lang w:val="cs-CZ"/>
        </w:rPr>
      </w:pPr>
      <w:r w:rsidRPr="00CF5B13">
        <w:rPr>
          <w:rFonts w:ascii="Times New Roman" w:hAnsi="Times New Roman" w:cs="Times New Roman"/>
          <w:b/>
          <w:sz w:val="24"/>
          <w:szCs w:val="24"/>
          <w:lang w:val="cs-CZ"/>
        </w:rPr>
        <w:t xml:space="preserve">Strategický cíl: </w:t>
      </w:r>
      <w:r w:rsidR="00A917CE" w:rsidRPr="00CF5B13">
        <w:rPr>
          <w:rFonts w:ascii="Times New Roman" w:hAnsi="Times New Roman" w:cs="Times New Roman"/>
          <w:b/>
          <w:sz w:val="24"/>
          <w:szCs w:val="24"/>
          <w:lang w:val="cs-CZ"/>
        </w:rPr>
        <w:t>Poskytovat a podporovat adekvátní rozvojovou a transformační spolupráci a humanitární pomoc, která směřuje na potřeby žen a dívek</w:t>
      </w:r>
    </w:p>
    <w:tbl>
      <w:tblPr>
        <w:tblStyle w:val="Mkatabulky"/>
        <w:tblW w:w="10201" w:type="dxa"/>
        <w:tblLook w:val="04A0" w:firstRow="1" w:lastRow="0" w:firstColumn="1" w:lastColumn="0" w:noHBand="0" w:noVBand="1"/>
      </w:tblPr>
      <w:tblGrid>
        <w:gridCol w:w="7508"/>
        <w:gridCol w:w="2693"/>
      </w:tblGrid>
      <w:tr w:rsidR="00225C05" w:rsidRPr="00CF5B13" w:rsidTr="00331DE5">
        <w:tc>
          <w:tcPr>
            <w:tcW w:w="7508" w:type="dxa"/>
          </w:tcPr>
          <w:p w:rsidR="00810DE9" w:rsidRPr="00CF5B13" w:rsidRDefault="00810DE9" w:rsidP="00810DE9">
            <w:pPr>
              <w:jc w:val="both"/>
              <w:rPr>
                <w:rFonts w:ascii="Times New Roman" w:hAnsi="Times New Roman" w:cs="Times New Roman"/>
                <w:b/>
                <w:i/>
                <w:sz w:val="24"/>
                <w:szCs w:val="24"/>
                <w:lang w:val="cs-CZ"/>
              </w:rPr>
            </w:pPr>
            <w:r w:rsidRPr="00CF5B13">
              <w:rPr>
                <w:rFonts w:ascii="Times New Roman" w:hAnsi="Times New Roman" w:cs="Times New Roman"/>
                <w:b/>
                <w:i/>
                <w:sz w:val="24"/>
                <w:szCs w:val="24"/>
                <w:lang w:val="cs-CZ"/>
              </w:rPr>
              <w:t>Opatření</w:t>
            </w:r>
          </w:p>
          <w:p w:rsidR="00225C05" w:rsidRPr="00CF5B13" w:rsidRDefault="00810DE9" w:rsidP="00810DE9">
            <w:pPr>
              <w:jc w:val="both"/>
              <w:rPr>
                <w:rFonts w:ascii="Times New Roman" w:hAnsi="Times New Roman" w:cs="Times New Roman"/>
                <w:b/>
                <w:i/>
                <w:sz w:val="24"/>
                <w:szCs w:val="24"/>
                <w:lang w:val="cs-CZ"/>
              </w:rPr>
            </w:pPr>
            <w:r w:rsidRPr="00CF5B13">
              <w:rPr>
                <w:rFonts w:ascii="Times New Roman" w:hAnsi="Times New Roman" w:cs="Times New Roman"/>
                <w:b/>
                <w:i/>
                <w:sz w:val="24"/>
                <w:szCs w:val="24"/>
                <w:lang w:val="cs-CZ"/>
              </w:rPr>
              <w:t>(Odpovědná instituce/spolupracující instituce)</w:t>
            </w:r>
          </w:p>
          <w:p w:rsidR="00225C05" w:rsidRPr="00CF5B13" w:rsidRDefault="00225C05" w:rsidP="00225C05">
            <w:pPr>
              <w:jc w:val="both"/>
              <w:rPr>
                <w:rFonts w:ascii="Times New Roman" w:hAnsi="Times New Roman" w:cs="Times New Roman"/>
                <w:b/>
                <w:i/>
                <w:sz w:val="24"/>
                <w:szCs w:val="24"/>
                <w:lang w:val="cs-CZ"/>
              </w:rPr>
            </w:pPr>
            <w:r w:rsidRPr="00CF5B13">
              <w:rPr>
                <w:rFonts w:ascii="Times New Roman" w:hAnsi="Times New Roman" w:cs="Times New Roman"/>
                <w:b/>
                <w:i/>
                <w:sz w:val="24"/>
                <w:szCs w:val="24"/>
                <w:lang w:val="cs-CZ"/>
              </w:rPr>
              <w:tab/>
            </w:r>
            <w:r w:rsidRPr="00CF5B13">
              <w:rPr>
                <w:rFonts w:ascii="Times New Roman" w:hAnsi="Times New Roman" w:cs="Times New Roman"/>
                <w:b/>
                <w:i/>
                <w:sz w:val="24"/>
                <w:szCs w:val="24"/>
                <w:lang w:val="cs-CZ"/>
              </w:rPr>
              <w:tab/>
            </w:r>
          </w:p>
        </w:tc>
        <w:tc>
          <w:tcPr>
            <w:tcW w:w="2693" w:type="dxa"/>
          </w:tcPr>
          <w:p w:rsidR="00225C05" w:rsidRPr="00CF5B13" w:rsidRDefault="00810DE9" w:rsidP="003B2FE7">
            <w:pPr>
              <w:rPr>
                <w:rFonts w:ascii="Times New Roman" w:hAnsi="Times New Roman" w:cs="Times New Roman"/>
                <w:b/>
                <w:i/>
                <w:sz w:val="24"/>
                <w:szCs w:val="24"/>
                <w:lang w:val="cs-CZ"/>
              </w:rPr>
            </w:pPr>
            <w:r w:rsidRPr="00CF5B13">
              <w:rPr>
                <w:rFonts w:ascii="Times New Roman" w:hAnsi="Times New Roman" w:cs="Times New Roman"/>
                <w:b/>
                <w:i/>
                <w:sz w:val="24"/>
                <w:szCs w:val="24"/>
                <w:lang w:val="cs-CZ"/>
              </w:rPr>
              <w:t xml:space="preserve"> Vyhodnocení</w:t>
            </w:r>
            <w:r w:rsidR="003B2FE7" w:rsidRPr="00CF5B13">
              <w:rPr>
                <w:rFonts w:ascii="Times New Roman" w:hAnsi="Times New Roman" w:cs="Times New Roman"/>
                <w:b/>
                <w:i/>
                <w:sz w:val="24"/>
                <w:szCs w:val="24"/>
                <w:lang w:val="cs-CZ"/>
              </w:rPr>
              <w:t xml:space="preserve"> </w:t>
            </w:r>
            <w:r w:rsidRPr="00CF5B13">
              <w:rPr>
                <w:rFonts w:ascii="Times New Roman" w:hAnsi="Times New Roman" w:cs="Times New Roman"/>
                <w:b/>
                <w:i/>
                <w:sz w:val="24"/>
                <w:szCs w:val="24"/>
                <w:lang w:val="cs-CZ"/>
              </w:rPr>
              <w:t>plnění opatření</w:t>
            </w:r>
          </w:p>
        </w:tc>
      </w:tr>
      <w:tr w:rsidR="00225C05" w:rsidRPr="00CF5B13" w:rsidTr="00331DE5">
        <w:tc>
          <w:tcPr>
            <w:tcW w:w="7508" w:type="dxa"/>
          </w:tcPr>
          <w:p w:rsidR="0095329F" w:rsidRPr="00CF5B13" w:rsidRDefault="00810DE9" w:rsidP="00806259">
            <w:pPr>
              <w:jc w:val="both"/>
              <w:rPr>
                <w:rFonts w:ascii="Times New Roman" w:eastAsia="Times New Roman" w:hAnsi="Times New Roman" w:cs="Times New Roman"/>
                <w:sz w:val="24"/>
                <w:szCs w:val="24"/>
                <w:lang w:val="cs-CZ"/>
              </w:rPr>
            </w:pPr>
            <w:r w:rsidRPr="00CF5B13">
              <w:rPr>
                <w:rFonts w:ascii="Times New Roman" w:eastAsia="Times New Roman" w:hAnsi="Times New Roman" w:cs="Times New Roman"/>
                <w:b/>
                <w:color w:val="4472C4" w:themeColor="accent5"/>
                <w:sz w:val="24"/>
                <w:szCs w:val="24"/>
                <w:lang w:val="cs-CZ"/>
              </w:rPr>
              <w:t xml:space="preserve">4.1 </w:t>
            </w:r>
            <w:r w:rsidR="00225C05" w:rsidRPr="00CF5B13">
              <w:rPr>
                <w:rFonts w:ascii="Times New Roman" w:eastAsia="Times New Roman" w:hAnsi="Times New Roman" w:cs="Times New Roman"/>
                <w:b/>
                <w:color w:val="4472C4" w:themeColor="accent5"/>
                <w:sz w:val="24"/>
                <w:szCs w:val="24"/>
                <w:lang w:val="cs-CZ"/>
              </w:rPr>
              <w:t>Vytvořit a v praxi aplikovat metodický pokyn pro zohledňování genderu v rámci průřezových témat ve všech fázích projektového cyklu ZRS a humanitární pomoci.</w:t>
            </w:r>
            <w:r w:rsidRPr="00CF5B13">
              <w:rPr>
                <w:rFonts w:ascii="Times New Roman" w:eastAsia="Times New Roman" w:hAnsi="Times New Roman" w:cs="Times New Roman"/>
                <w:sz w:val="24"/>
                <w:szCs w:val="24"/>
                <w:lang w:val="cs-CZ"/>
              </w:rPr>
              <w:t xml:space="preserve"> </w:t>
            </w:r>
          </w:p>
          <w:p w:rsidR="00225C05" w:rsidRPr="00CF5B13" w:rsidRDefault="00810DE9" w:rsidP="003B2FE7">
            <w:pPr>
              <w:spacing w:after="120"/>
              <w:jc w:val="both"/>
              <w:rPr>
                <w:rFonts w:ascii="Times New Roman" w:hAnsi="Times New Roman" w:cs="Times New Roman"/>
                <w:b/>
                <w:sz w:val="24"/>
                <w:szCs w:val="24"/>
                <w:lang w:val="cs-CZ"/>
              </w:rPr>
            </w:pPr>
            <w:r w:rsidRPr="00CF5B13">
              <w:rPr>
                <w:rFonts w:ascii="Times New Roman" w:eastAsia="Times New Roman" w:hAnsi="Times New Roman" w:cs="Times New Roman"/>
                <w:b/>
                <w:color w:val="4472C4" w:themeColor="accent5"/>
                <w:sz w:val="24"/>
                <w:szCs w:val="24"/>
                <w:lang w:val="cs-CZ"/>
              </w:rPr>
              <w:t>(MZV/Rada pro ZRS, ČRA)</w:t>
            </w:r>
          </w:p>
        </w:tc>
        <w:tc>
          <w:tcPr>
            <w:tcW w:w="2693" w:type="dxa"/>
          </w:tcPr>
          <w:p w:rsidR="00902CB2" w:rsidRPr="00CF5B13" w:rsidRDefault="00902CB2" w:rsidP="00902CB2">
            <w:pPr>
              <w:jc w:val="both"/>
              <w:rPr>
                <w:rFonts w:ascii="Times New Roman" w:hAnsi="Times New Roman" w:cs="Times New Roman"/>
                <w:b/>
                <w:color w:val="4472C4" w:themeColor="accent5"/>
                <w:sz w:val="24"/>
                <w:szCs w:val="24"/>
                <w:lang w:val="cs-CZ"/>
              </w:rPr>
            </w:pPr>
            <w:r w:rsidRPr="00CF5B13">
              <w:rPr>
                <w:rFonts w:ascii="Times New Roman" w:hAnsi="Times New Roman" w:cs="Times New Roman"/>
                <w:b/>
                <w:color w:val="4472C4" w:themeColor="accent5"/>
                <w:sz w:val="24"/>
                <w:szCs w:val="24"/>
                <w:lang w:val="cs-CZ"/>
              </w:rPr>
              <w:t>Plněno průběžně</w:t>
            </w:r>
          </w:p>
          <w:p w:rsidR="00A94942" w:rsidRPr="00CF5B13" w:rsidRDefault="00A94942" w:rsidP="00902CB2">
            <w:pPr>
              <w:rPr>
                <w:rFonts w:ascii="Times New Roman" w:hAnsi="Times New Roman" w:cs="Times New Roman"/>
                <w:b/>
                <w:sz w:val="24"/>
                <w:szCs w:val="24"/>
                <w:lang w:val="cs-CZ"/>
              </w:rPr>
            </w:pPr>
          </w:p>
        </w:tc>
      </w:tr>
      <w:tr w:rsidR="008965A7" w:rsidRPr="00412C4E" w:rsidTr="00331DE5">
        <w:tc>
          <w:tcPr>
            <w:tcW w:w="10201" w:type="dxa"/>
            <w:gridSpan w:val="2"/>
          </w:tcPr>
          <w:p w:rsidR="00902CB2" w:rsidRDefault="003616F7" w:rsidP="00902CB2">
            <w:pPr>
              <w:jc w:val="both"/>
              <w:rPr>
                <w:rFonts w:ascii="Times New Roman" w:hAnsi="Times New Roman" w:cs="Times New Roman"/>
                <w:sz w:val="24"/>
                <w:szCs w:val="24"/>
                <w:lang w:val="cs-CZ"/>
              </w:rPr>
            </w:pPr>
            <w:r w:rsidRPr="00CF5B13">
              <w:rPr>
                <w:rFonts w:ascii="Times New Roman" w:hAnsi="Times New Roman" w:cs="Times New Roman"/>
                <w:iCs/>
                <w:sz w:val="24"/>
                <w:szCs w:val="24"/>
                <w:lang w:val="cs-CZ"/>
              </w:rPr>
              <w:t xml:space="preserve"> </w:t>
            </w:r>
            <w:r w:rsidR="00902CB2" w:rsidRPr="00CF5B13">
              <w:rPr>
                <w:rFonts w:ascii="Times New Roman" w:hAnsi="Times New Roman" w:cs="Times New Roman"/>
                <w:sz w:val="24"/>
                <w:szCs w:val="24"/>
                <w:lang w:val="cs-CZ"/>
              </w:rPr>
              <w:t>V roce 2022 byly vypracovány principy a standardy v přístupu k implementaci genderové rovnosti v projektech ZRS a HP ČR, které zohledňují národní i mezinárodní závazky v oblasti genderu. Byla rovněž zahájena příprava metodického pokynu pro začleňování průřezových témat do programů a projektů ZRS a HP a byly rozpracovány její základní prvky. Finalizace metodiky a její schválení se předpokládá v roce 2023.</w:t>
            </w:r>
          </w:p>
          <w:p w:rsidR="00A62F64" w:rsidRPr="00CF5B13" w:rsidRDefault="00A62F64" w:rsidP="00902CB2">
            <w:pPr>
              <w:jc w:val="both"/>
              <w:rPr>
                <w:rFonts w:ascii="Times New Roman" w:hAnsi="Times New Roman" w:cs="Times New Roman"/>
                <w:sz w:val="24"/>
                <w:szCs w:val="24"/>
                <w:lang w:val="cs-CZ"/>
              </w:rPr>
            </w:pPr>
            <w:r>
              <w:rPr>
                <w:rFonts w:ascii="Times New Roman" w:hAnsi="Times New Roman" w:cs="Times New Roman"/>
                <w:sz w:val="24"/>
                <w:szCs w:val="24"/>
                <w:lang w:val="cs-CZ"/>
              </w:rPr>
              <w:t>V případě pomoci Ukrajině zohledňuje Program humanitární, stabilizační, rekonstrukční a hospodářské asistence Ukrajině jako jedno ze svých významných východisek tzv. principy z Lugana, které kladou mimo jiné důraz na zohledňování rovnosti žen a mužů.</w:t>
            </w:r>
          </w:p>
          <w:p w:rsidR="008965A7" w:rsidRPr="00CF5B13" w:rsidRDefault="008965A7" w:rsidP="00806259">
            <w:pPr>
              <w:jc w:val="both"/>
              <w:rPr>
                <w:rFonts w:ascii="Times New Roman" w:hAnsi="Times New Roman" w:cs="Times New Roman"/>
                <w:b/>
                <w:sz w:val="24"/>
                <w:szCs w:val="24"/>
                <w:lang w:val="cs-CZ"/>
              </w:rPr>
            </w:pPr>
          </w:p>
        </w:tc>
      </w:tr>
      <w:tr w:rsidR="00225C05" w:rsidRPr="00412C4E" w:rsidTr="00331DE5">
        <w:tc>
          <w:tcPr>
            <w:tcW w:w="7508" w:type="dxa"/>
          </w:tcPr>
          <w:p w:rsidR="0095329F" w:rsidRPr="00CF5B13" w:rsidRDefault="00810DE9" w:rsidP="00806259">
            <w:pPr>
              <w:jc w:val="both"/>
              <w:rPr>
                <w:rFonts w:ascii="Times New Roman" w:eastAsia="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t xml:space="preserve">4.2 </w:t>
            </w:r>
            <w:r w:rsidR="008965A7" w:rsidRPr="00CF5B13">
              <w:rPr>
                <w:rFonts w:ascii="Times New Roman" w:eastAsia="Times New Roman" w:hAnsi="Times New Roman" w:cs="Times New Roman"/>
                <w:b/>
                <w:color w:val="4472C4" w:themeColor="accent5"/>
                <w:sz w:val="24"/>
                <w:szCs w:val="24"/>
                <w:lang w:val="cs-CZ"/>
              </w:rPr>
              <w:t>Zavést Kodex chování pro subjekty realizující projekty ZRS a humanitární pomoci ČR.</w:t>
            </w:r>
            <w:r w:rsidRPr="00CF5B13">
              <w:rPr>
                <w:rFonts w:ascii="Times New Roman" w:eastAsia="Times New Roman" w:hAnsi="Times New Roman" w:cs="Times New Roman"/>
                <w:b/>
                <w:color w:val="4472C4" w:themeColor="accent5"/>
                <w:sz w:val="24"/>
                <w:szCs w:val="24"/>
                <w:lang w:val="cs-CZ"/>
              </w:rPr>
              <w:t xml:space="preserve"> </w:t>
            </w:r>
          </w:p>
          <w:p w:rsidR="00225C05" w:rsidRPr="00CF5B13" w:rsidRDefault="00810DE9" w:rsidP="003B2FE7">
            <w:pPr>
              <w:spacing w:after="120"/>
              <w:jc w:val="both"/>
              <w:rPr>
                <w:rFonts w:ascii="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t>(MZV/Rada pro ZRS)</w:t>
            </w:r>
          </w:p>
        </w:tc>
        <w:tc>
          <w:tcPr>
            <w:tcW w:w="2693" w:type="dxa"/>
          </w:tcPr>
          <w:p w:rsidR="00370796" w:rsidRPr="00CF5B13" w:rsidRDefault="00370796" w:rsidP="00370796">
            <w:pPr>
              <w:pStyle w:val="Odstavecseseznamem"/>
              <w:ind w:left="0"/>
              <w:rPr>
                <w:rFonts w:ascii="Times New Roman" w:hAnsi="Times New Roman" w:cs="Times New Roman"/>
                <w:b/>
                <w:color w:val="4472C4" w:themeColor="accent5"/>
                <w:sz w:val="24"/>
                <w:szCs w:val="24"/>
                <w:lang w:val="cs-CZ"/>
              </w:rPr>
            </w:pPr>
            <w:r w:rsidRPr="00CF5B13">
              <w:rPr>
                <w:rFonts w:ascii="Times New Roman" w:hAnsi="Times New Roman" w:cs="Times New Roman"/>
                <w:b/>
                <w:color w:val="4472C4" w:themeColor="accent5"/>
                <w:sz w:val="24"/>
                <w:szCs w:val="24"/>
                <w:lang w:val="cs-CZ"/>
              </w:rPr>
              <w:t>Prozatím nesplněno</w:t>
            </w:r>
          </w:p>
          <w:p w:rsidR="00225C05" w:rsidRPr="00CF5B13" w:rsidRDefault="00370796" w:rsidP="00370796">
            <w:pPr>
              <w:rPr>
                <w:rFonts w:ascii="Times New Roman" w:hAnsi="Times New Roman" w:cs="Times New Roman"/>
                <w:sz w:val="24"/>
                <w:szCs w:val="24"/>
                <w:lang w:val="cs-CZ"/>
              </w:rPr>
            </w:pPr>
            <w:r w:rsidRPr="00CF5B13">
              <w:rPr>
                <w:rFonts w:ascii="Times New Roman" w:hAnsi="Times New Roman" w:cs="Times New Roman"/>
                <w:color w:val="4472C4" w:themeColor="accent5"/>
                <w:sz w:val="24"/>
                <w:szCs w:val="24"/>
                <w:lang w:val="cs-CZ"/>
              </w:rPr>
              <w:t>Plnění proběhne v následujícím období</w:t>
            </w:r>
            <w:r w:rsidRPr="00CF5B13">
              <w:rPr>
                <w:rFonts w:ascii="Times New Roman" w:hAnsi="Times New Roman" w:cs="Times New Roman"/>
                <w:sz w:val="24"/>
                <w:szCs w:val="24"/>
                <w:lang w:val="cs-CZ"/>
              </w:rPr>
              <w:t xml:space="preserve"> </w:t>
            </w:r>
          </w:p>
        </w:tc>
      </w:tr>
      <w:tr w:rsidR="008965A7" w:rsidRPr="00412C4E" w:rsidTr="00331DE5">
        <w:tc>
          <w:tcPr>
            <w:tcW w:w="10201" w:type="dxa"/>
            <w:gridSpan w:val="2"/>
          </w:tcPr>
          <w:p w:rsidR="008965A7" w:rsidRPr="00CF5B13" w:rsidRDefault="003616F7" w:rsidP="0012339F">
            <w:pPr>
              <w:jc w:val="both"/>
              <w:rPr>
                <w:rFonts w:ascii="Times New Roman" w:hAnsi="Times New Roman" w:cs="Times New Roman"/>
                <w:sz w:val="24"/>
                <w:szCs w:val="24"/>
                <w:lang w:val="cs-CZ"/>
              </w:rPr>
            </w:pPr>
            <w:r w:rsidRPr="00CF5B13">
              <w:rPr>
                <w:rFonts w:ascii="Times New Roman" w:hAnsi="Times New Roman" w:cs="Times New Roman"/>
                <w:sz w:val="24"/>
                <w:szCs w:val="24"/>
                <w:lang w:val="cs-CZ"/>
              </w:rPr>
              <w:t xml:space="preserve"> </w:t>
            </w:r>
            <w:r w:rsidR="00EA7687" w:rsidRPr="00CF5B13">
              <w:rPr>
                <w:rFonts w:ascii="Times New Roman" w:hAnsi="Times New Roman" w:cs="Times New Roman"/>
                <w:sz w:val="24"/>
                <w:szCs w:val="24"/>
                <w:lang w:val="cs-CZ"/>
              </w:rPr>
              <w:t>Kodex chování pro realizátory projektů prozatím nebyl zaveden.  Jeho vypracování a uvedení do praxe bude součástí metodiky pro začleňování průřezových témat a genderu do projektů ZRS a HP.</w:t>
            </w:r>
          </w:p>
          <w:p w:rsidR="00EA7687" w:rsidRPr="00CF5B13" w:rsidRDefault="00EA7687" w:rsidP="0012339F">
            <w:pPr>
              <w:jc w:val="both"/>
              <w:rPr>
                <w:rFonts w:ascii="Times New Roman" w:hAnsi="Times New Roman" w:cs="Times New Roman"/>
                <w:sz w:val="24"/>
                <w:szCs w:val="24"/>
                <w:lang w:val="cs-CZ"/>
              </w:rPr>
            </w:pPr>
          </w:p>
        </w:tc>
      </w:tr>
      <w:tr w:rsidR="00225C05" w:rsidRPr="00CF5B13" w:rsidTr="00331DE5">
        <w:tc>
          <w:tcPr>
            <w:tcW w:w="7508" w:type="dxa"/>
          </w:tcPr>
          <w:p w:rsidR="00225C05" w:rsidRPr="00CF5B13" w:rsidRDefault="00810DE9" w:rsidP="003B2FE7">
            <w:pPr>
              <w:spacing w:after="120"/>
              <w:jc w:val="both"/>
              <w:rPr>
                <w:rFonts w:ascii="Times New Roman" w:hAnsi="Times New Roman" w:cs="Times New Roman"/>
                <w:b/>
                <w:sz w:val="24"/>
                <w:szCs w:val="24"/>
                <w:lang w:val="cs-CZ"/>
              </w:rPr>
            </w:pPr>
            <w:r w:rsidRPr="00CF5B13">
              <w:rPr>
                <w:rFonts w:ascii="Times New Roman" w:eastAsia="Times New Roman" w:hAnsi="Times New Roman" w:cs="Times New Roman"/>
                <w:b/>
                <w:color w:val="4472C4" w:themeColor="accent5"/>
                <w:sz w:val="24"/>
                <w:szCs w:val="24"/>
                <w:lang w:val="cs-CZ"/>
              </w:rPr>
              <w:t xml:space="preserve">4.3 </w:t>
            </w:r>
            <w:r w:rsidR="008965A7" w:rsidRPr="00CF5B13">
              <w:rPr>
                <w:rFonts w:ascii="Times New Roman" w:eastAsia="Times New Roman" w:hAnsi="Times New Roman" w:cs="Times New Roman"/>
                <w:b/>
                <w:color w:val="4472C4" w:themeColor="accent5"/>
                <w:sz w:val="24"/>
                <w:szCs w:val="24"/>
                <w:lang w:val="cs-CZ"/>
              </w:rPr>
              <w:t>Zvyšovat podíl projektů ZRS a humanitární pomoci s místními realizátory, v nichž je průřezově zohledněna genderová rovnost.</w:t>
            </w:r>
            <w:r w:rsidRPr="00CF5B13">
              <w:rPr>
                <w:rFonts w:ascii="Times New Roman" w:eastAsia="Times New Roman" w:hAnsi="Times New Roman" w:cs="Times New Roman"/>
                <w:b/>
                <w:color w:val="4472C4" w:themeColor="accent5"/>
                <w:sz w:val="24"/>
                <w:szCs w:val="24"/>
                <w:lang w:val="cs-CZ"/>
              </w:rPr>
              <w:t xml:space="preserve"> (MZV/ČRA)</w:t>
            </w:r>
          </w:p>
        </w:tc>
        <w:tc>
          <w:tcPr>
            <w:tcW w:w="2693" w:type="dxa"/>
          </w:tcPr>
          <w:p w:rsidR="00EA7687" w:rsidRPr="00CF5B13" w:rsidRDefault="00EA7687" w:rsidP="00EA7687">
            <w:pPr>
              <w:jc w:val="both"/>
              <w:rPr>
                <w:rFonts w:ascii="Times New Roman" w:hAnsi="Times New Roman" w:cs="Times New Roman"/>
                <w:b/>
                <w:color w:val="4472C4" w:themeColor="accent5"/>
                <w:sz w:val="24"/>
                <w:szCs w:val="24"/>
                <w:lang w:val="cs-CZ"/>
              </w:rPr>
            </w:pPr>
            <w:r w:rsidRPr="00CF5B13">
              <w:rPr>
                <w:rFonts w:ascii="Times New Roman" w:hAnsi="Times New Roman" w:cs="Times New Roman"/>
                <w:b/>
                <w:color w:val="4472C4" w:themeColor="accent5"/>
                <w:sz w:val="24"/>
                <w:szCs w:val="24"/>
                <w:lang w:val="cs-CZ"/>
              </w:rPr>
              <w:t>Plněno průběžně</w:t>
            </w:r>
          </w:p>
          <w:p w:rsidR="0012339F" w:rsidRPr="00CF5B13" w:rsidRDefault="0012339F" w:rsidP="00EA7687">
            <w:pPr>
              <w:rPr>
                <w:rFonts w:ascii="Times New Roman" w:hAnsi="Times New Roman" w:cs="Times New Roman"/>
                <w:sz w:val="24"/>
                <w:szCs w:val="24"/>
                <w:lang w:val="cs-CZ"/>
              </w:rPr>
            </w:pPr>
          </w:p>
        </w:tc>
      </w:tr>
      <w:tr w:rsidR="008965A7" w:rsidRPr="00412C4E" w:rsidTr="00331DE5">
        <w:tc>
          <w:tcPr>
            <w:tcW w:w="10201" w:type="dxa"/>
            <w:gridSpan w:val="2"/>
          </w:tcPr>
          <w:p w:rsidR="00EA7687" w:rsidRPr="00CF5B13" w:rsidRDefault="003616F7" w:rsidP="00EA7687">
            <w:pPr>
              <w:jc w:val="both"/>
              <w:rPr>
                <w:rFonts w:ascii="Times New Roman" w:hAnsi="Times New Roman" w:cs="Times New Roman"/>
                <w:sz w:val="24"/>
                <w:szCs w:val="24"/>
                <w:lang w:val="cs-CZ"/>
              </w:rPr>
            </w:pPr>
            <w:r w:rsidRPr="00CF5B13">
              <w:rPr>
                <w:rFonts w:ascii="Times New Roman" w:hAnsi="Times New Roman" w:cs="Times New Roman"/>
                <w:sz w:val="24"/>
                <w:szCs w:val="24"/>
                <w:lang w:val="cs-CZ"/>
              </w:rPr>
              <w:t xml:space="preserve"> </w:t>
            </w:r>
            <w:r w:rsidR="00EA7687" w:rsidRPr="00CF5B13">
              <w:rPr>
                <w:rFonts w:ascii="Times New Roman" w:hAnsi="Times New Roman" w:cs="Times New Roman"/>
                <w:sz w:val="24"/>
                <w:szCs w:val="24"/>
                <w:lang w:val="cs-CZ"/>
              </w:rPr>
              <w:t>V rámci humanitární pomoci MZV průběžně navyšuje počet aktivit s místními aktéry (priorita lokalizace), a v této spolupráci jsou preferovány průřezově obzvláště zranitelné skupiny, zpravidla ženy a dívky, včetně posilování jejich aktivního zapojení (</w:t>
            </w:r>
            <w:r w:rsidR="00EA7687" w:rsidRPr="00CF5B13">
              <w:rPr>
                <w:rFonts w:ascii="Times New Roman" w:hAnsi="Times New Roman" w:cs="Times New Roman"/>
                <w:i/>
                <w:sz w:val="24"/>
                <w:szCs w:val="24"/>
                <w:lang w:val="cs-CZ"/>
              </w:rPr>
              <w:t>empowerment</w:t>
            </w:r>
            <w:r w:rsidR="00EA7687" w:rsidRPr="00CF5B13">
              <w:rPr>
                <w:rFonts w:ascii="Times New Roman" w:hAnsi="Times New Roman" w:cs="Times New Roman"/>
                <w:sz w:val="24"/>
                <w:szCs w:val="24"/>
                <w:lang w:val="cs-CZ"/>
              </w:rPr>
              <w:t xml:space="preserve">). </w:t>
            </w:r>
            <w:r w:rsidR="00A62F64">
              <w:rPr>
                <w:rFonts w:ascii="Times New Roman" w:hAnsi="Times New Roman" w:cs="Times New Roman"/>
                <w:sz w:val="24"/>
                <w:szCs w:val="24"/>
                <w:lang w:val="cs-CZ"/>
              </w:rPr>
              <w:t>To platí ve vysoké míře také pro Ukrajinu, kde jsou kontakty s místními aktéry dlouhodobě rozvíjeny a během konfliktu systematicky využívány.</w:t>
            </w:r>
            <w:r w:rsidR="00A62F64" w:rsidRPr="00CF5B13">
              <w:rPr>
                <w:rFonts w:ascii="Times New Roman" w:hAnsi="Times New Roman" w:cs="Times New Roman"/>
                <w:sz w:val="24"/>
                <w:szCs w:val="24"/>
                <w:lang w:val="cs-CZ"/>
              </w:rPr>
              <w:t xml:space="preserve"> </w:t>
            </w:r>
            <w:r w:rsidR="00EA7687" w:rsidRPr="00CF5B13">
              <w:rPr>
                <w:rFonts w:ascii="Times New Roman" w:hAnsi="Times New Roman" w:cs="Times New Roman"/>
                <w:sz w:val="24"/>
                <w:szCs w:val="24"/>
                <w:lang w:val="cs-CZ"/>
              </w:rPr>
              <w:t>V oblasti rozvojové spolupráce jsou průřezová témata (vč. genderu) integrální součástí projektových dokumentů. Prozatím však není efektivně nastaven systém upřednostňování projektů, v nichž je průřezově zohledněna genderová rovnost, a tím i zvyšování podílu projektů explicitně zohledňujících gender. Tento aspekt by měla upravit připravovaná metodika pro začleňování průřezových témat.</w:t>
            </w:r>
          </w:p>
          <w:p w:rsidR="008965A7" w:rsidRPr="00CF5B13" w:rsidRDefault="008965A7" w:rsidP="00806259">
            <w:pPr>
              <w:jc w:val="both"/>
              <w:rPr>
                <w:rFonts w:ascii="Times New Roman" w:hAnsi="Times New Roman" w:cs="Times New Roman"/>
                <w:sz w:val="24"/>
                <w:szCs w:val="24"/>
                <w:lang w:val="cs-CZ"/>
              </w:rPr>
            </w:pPr>
          </w:p>
        </w:tc>
      </w:tr>
      <w:tr w:rsidR="00225C05" w:rsidRPr="00CF5B13" w:rsidTr="00331DE5">
        <w:tc>
          <w:tcPr>
            <w:tcW w:w="7508" w:type="dxa"/>
          </w:tcPr>
          <w:p w:rsidR="0095329F" w:rsidRPr="00CF5B13" w:rsidRDefault="00810DE9" w:rsidP="00806259">
            <w:pPr>
              <w:jc w:val="both"/>
              <w:rPr>
                <w:rFonts w:ascii="Times New Roman" w:eastAsia="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t xml:space="preserve">4.4 </w:t>
            </w:r>
            <w:r w:rsidR="008965A7" w:rsidRPr="00CF5B13">
              <w:rPr>
                <w:rFonts w:ascii="Times New Roman" w:eastAsia="Times New Roman" w:hAnsi="Times New Roman" w:cs="Times New Roman"/>
                <w:b/>
                <w:color w:val="4472C4" w:themeColor="accent5"/>
                <w:sz w:val="24"/>
                <w:szCs w:val="24"/>
                <w:lang w:val="cs-CZ"/>
              </w:rPr>
              <w:t>Začlenit oblast genderové rovnosti do formulářů pro podávání projektů transformační spolupráce.</w:t>
            </w:r>
            <w:r w:rsidRPr="00CF5B13">
              <w:rPr>
                <w:rFonts w:ascii="Times New Roman" w:eastAsia="Times New Roman" w:hAnsi="Times New Roman" w:cs="Times New Roman"/>
                <w:b/>
                <w:color w:val="4472C4" w:themeColor="accent5"/>
                <w:sz w:val="24"/>
                <w:szCs w:val="24"/>
                <w:lang w:val="cs-CZ"/>
              </w:rPr>
              <w:t xml:space="preserve"> </w:t>
            </w:r>
          </w:p>
          <w:p w:rsidR="00225C05" w:rsidRPr="00CF5B13" w:rsidRDefault="00810DE9" w:rsidP="003B2FE7">
            <w:pPr>
              <w:spacing w:after="120"/>
              <w:jc w:val="both"/>
              <w:rPr>
                <w:rFonts w:ascii="Times New Roman" w:hAnsi="Times New Roman" w:cs="Times New Roman"/>
                <w:b/>
                <w:sz w:val="24"/>
                <w:szCs w:val="24"/>
                <w:lang w:val="cs-CZ"/>
              </w:rPr>
            </w:pPr>
            <w:r w:rsidRPr="00CF5B13">
              <w:rPr>
                <w:rFonts w:ascii="Times New Roman" w:eastAsia="Times New Roman" w:hAnsi="Times New Roman" w:cs="Times New Roman"/>
                <w:b/>
                <w:color w:val="4472C4" w:themeColor="accent5"/>
                <w:sz w:val="24"/>
                <w:szCs w:val="24"/>
                <w:lang w:val="cs-CZ"/>
              </w:rPr>
              <w:t>(MZV)</w:t>
            </w:r>
          </w:p>
        </w:tc>
        <w:tc>
          <w:tcPr>
            <w:tcW w:w="2693" w:type="dxa"/>
          </w:tcPr>
          <w:p w:rsidR="00225C05" w:rsidRPr="00CF5B13" w:rsidRDefault="003616F7" w:rsidP="00806259">
            <w:pPr>
              <w:jc w:val="both"/>
              <w:rPr>
                <w:rFonts w:ascii="Times New Roman" w:hAnsi="Times New Roman" w:cs="Times New Roman"/>
                <w:b/>
                <w:sz w:val="24"/>
                <w:szCs w:val="24"/>
                <w:lang w:val="cs-CZ"/>
              </w:rPr>
            </w:pPr>
            <w:r w:rsidRPr="00CF5B13">
              <w:rPr>
                <w:rFonts w:ascii="Times New Roman" w:eastAsia="Times New Roman" w:hAnsi="Times New Roman" w:cs="Times New Roman"/>
                <w:b/>
                <w:color w:val="4472C4" w:themeColor="accent5"/>
                <w:sz w:val="24"/>
                <w:szCs w:val="24"/>
                <w:lang w:val="cs-CZ"/>
              </w:rPr>
              <w:t xml:space="preserve"> </w:t>
            </w:r>
            <w:r w:rsidR="00640F1D" w:rsidRPr="00CF5B13">
              <w:rPr>
                <w:rFonts w:ascii="Times New Roman" w:eastAsia="Times New Roman" w:hAnsi="Times New Roman" w:cs="Times New Roman"/>
                <w:b/>
                <w:color w:val="4472C4" w:themeColor="accent5"/>
                <w:sz w:val="24"/>
                <w:szCs w:val="24"/>
                <w:lang w:val="cs-CZ"/>
              </w:rPr>
              <w:t>Splněno</w:t>
            </w:r>
          </w:p>
        </w:tc>
      </w:tr>
      <w:tr w:rsidR="008965A7" w:rsidRPr="00412C4E" w:rsidTr="00331DE5">
        <w:tc>
          <w:tcPr>
            <w:tcW w:w="10201" w:type="dxa"/>
            <w:gridSpan w:val="2"/>
          </w:tcPr>
          <w:p w:rsidR="00640F1D" w:rsidRPr="00CF5B13" w:rsidRDefault="003616F7" w:rsidP="00640F1D">
            <w:pPr>
              <w:jc w:val="both"/>
              <w:rPr>
                <w:rFonts w:ascii="Times New Roman" w:hAnsi="Times New Roman" w:cs="Times New Roman"/>
                <w:b/>
                <w:sz w:val="24"/>
                <w:szCs w:val="24"/>
                <w:lang w:val="cs-CZ"/>
              </w:rPr>
            </w:pPr>
            <w:r w:rsidRPr="00CF5B13">
              <w:rPr>
                <w:rFonts w:ascii="Times New Roman" w:hAnsi="Times New Roman" w:cs="Times New Roman"/>
                <w:sz w:val="24"/>
                <w:szCs w:val="24"/>
                <w:lang w:val="cs-CZ"/>
              </w:rPr>
              <w:lastRenderedPageBreak/>
              <w:t xml:space="preserve"> </w:t>
            </w:r>
            <w:r w:rsidR="00640F1D" w:rsidRPr="00CF5B13">
              <w:rPr>
                <w:rFonts w:ascii="Times New Roman" w:hAnsi="Times New Roman" w:cs="Times New Roman"/>
                <w:sz w:val="24"/>
                <w:szCs w:val="24"/>
                <w:lang w:val="cs-CZ"/>
              </w:rPr>
              <w:t>Formuláře pro podávání projektů transformační spolupráce zahrnují (v bodě 7) požadavek na zohlednění tématu rovnosti mužů a žen v projektu. Do formulářů k zahraniční rozvojové spolupráci je požadavek na zohlednění genderové rovnosti postupně zaváděn u jednotlivých nástrojů v gesci ČRA i MZV.</w:t>
            </w:r>
          </w:p>
          <w:p w:rsidR="008965A7" w:rsidRPr="00CF5B13" w:rsidRDefault="008965A7" w:rsidP="00806259">
            <w:pPr>
              <w:jc w:val="both"/>
              <w:rPr>
                <w:rFonts w:ascii="Times New Roman" w:hAnsi="Times New Roman" w:cs="Times New Roman"/>
                <w:sz w:val="24"/>
                <w:szCs w:val="24"/>
                <w:lang w:val="cs-CZ"/>
              </w:rPr>
            </w:pPr>
          </w:p>
        </w:tc>
      </w:tr>
      <w:tr w:rsidR="00225C05" w:rsidRPr="00CF5B13" w:rsidTr="00331DE5">
        <w:tc>
          <w:tcPr>
            <w:tcW w:w="7508" w:type="dxa"/>
          </w:tcPr>
          <w:p w:rsidR="0095329F" w:rsidRPr="00CF5B13" w:rsidRDefault="008965A7" w:rsidP="003C620E">
            <w:pPr>
              <w:pStyle w:val="Odstavecseseznamem"/>
              <w:numPr>
                <w:ilvl w:val="1"/>
                <w:numId w:val="8"/>
              </w:numPr>
              <w:jc w:val="both"/>
              <w:rPr>
                <w:rFonts w:ascii="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t>Začlenit oblast genderové rovnosti do hodnocení projektu.</w:t>
            </w:r>
            <w:r w:rsidR="00810DE9" w:rsidRPr="00CF5B13">
              <w:rPr>
                <w:rFonts w:ascii="Times New Roman" w:eastAsia="Times New Roman" w:hAnsi="Times New Roman" w:cs="Times New Roman"/>
                <w:b/>
                <w:color w:val="4472C4" w:themeColor="accent5"/>
                <w:sz w:val="24"/>
                <w:szCs w:val="24"/>
                <w:lang w:val="cs-CZ"/>
              </w:rPr>
              <w:t xml:space="preserve"> </w:t>
            </w:r>
          </w:p>
          <w:p w:rsidR="00225C05" w:rsidRPr="00CF5B13" w:rsidRDefault="00810DE9" w:rsidP="003B2FE7">
            <w:pPr>
              <w:spacing w:after="120"/>
              <w:jc w:val="both"/>
              <w:rPr>
                <w:rFonts w:ascii="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t>(MZV)</w:t>
            </w:r>
          </w:p>
        </w:tc>
        <w:tc>
          <w:tcPr>
            <w:tcW w:w="2693" w:type="dxa"/>
          </w:tcPr>
          <w:p w:rsidR="00C96878" w:rsidRPr="00CF5B13" w:rsidRDefault="00C96878" w:rsidP="00C96878">
            <w:pPr>
              <w:jc w:val="both"/>
              <w:rPr>
                <w:rFonts w:ascii="Times New Roman" w:eastAsia="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t>Plněno průběžně</w:t>
            </w:r>
          </w:p>
          <w:p w:rsidR="0012339F" w:rsidRPr="00CF5B13" w:rsidRDefault="0012339F" w:rsidP="00C96878">
            <w:pPr>
              <w:jc w:val="both"/>
              <w:rPr>
                <w:rFonts w:ascii="Times New Roman" w:hAnsi="Times New Roman" w:cs="Times New Roman"/>
                <w:sz w:val="24"/>
                <w:szCs w:val="24"/>
                <w:lang w:val="cs-CZ"/>
              </w:rPr>
            </w:pPr>
          </w:p>
        </w:tc>
      </w:tr>
      <w:tr w:rsidR="008965A7" w:rsidRPr="00412C4E" w:rsidTr="00331DE5">
        <w:tc>
          <w:tcPr>
            <w:tcW w:w="10201" w:type="dxa"/>
            <w:gridSpan w:val="2"/>
          </w:tcPr>
          <w:p w:rsidR="008965A7" w:rsidRPr="00CF5B13" w:rsidRDefault="003616F7" w:rsidP="00806259">
            <w:pPr>
              <w:jc w:val="both"/>
              <w:rPr>
                <w:rFonts w:ascii="Times New Roman" w:hAnsi="Times New Roman" w:cs="Times New Roman"/>
                <w:sz w:val="24"/>
                <w:szCs w:val="24"/>
                <w:lang w:val="cs-CZ"/>
              </w:rPr>
            </w:pPr>
            <w:r w:rsidRPr="00CF5B13">
              <w:rPr>
                <w:rFonts w:ascii="Times New Roman" w:hAnsi="Times New Roman" w:cs="Times New Roman"/>
                <w:sz w:val="24"/>
                <w:szCs w:val="24"/>
                <w:lang w:val="cs-CZ"/>
              </w:rPr>
              <w:t xml:space="preserve"> </w:t>
            </w:r>
            <w:r w:rsidR="00C96878" w:rsidRPr="00CF5B13">
              <w:rPr>
                <w:rFonts w:ascii="Times New Roman" w:hAnsi="Times New Roman" w:cs="Times New Roman"/>
                <w:sz w:val="24"/>
                <w:szCs w:val="24"/>
                <w:lang w:val="cs-CZ"/>
              </w:rPr>
              <w:t>Průřezová témata a gender jsou integrální součástí projektových dokumentů projektů ZRS a HP a jejich zohledňování při posuzování projektů již probíhá v rámci monitoringu a evaluací. Větší standardizaci pro hodnocení genderu a celkově průřezových témat by měly přinést nástroje připravované v metodice zohledňování průřezových témat v ZRS a HP, jejíž schválení předpokládáme v roce 2023.</w:t>
            </w:r>
          </w:p>
          <w:p w:rsidR="00C96878" w:rsidRPr="00CF5B13" w:rsidRDefault="00C96878" w:rsidP="00806259">
            <w:pPr>
              <w:jc w:val="both"/>
              <w:rPr>
                <w:rFonts w:ascii="Times New Roman" w:hAnsi="Times New Roman" w:cs="Times New Roman"/>
                <w:sz w:val="24"/>
                <w:szCs w:val="24"/>
                <w:lang w:val="cs-CZ"/>
              </w:rPr>
            </w:pPr>
          </w:p>
        </w:tc>
      </w:tr>
      <w:tr w:rsidR="00225C05" w:rsidRPr="00CF5B13" w:rsidTr="00331DE5">
        <w:tc>
          <w:tcPr>
            <w:tcW w:w="7508" w:type="dxa"/>
          </w:tcPr>
          <w:p w:rsidR="0095329F" w:rsidRPr="00CF5B13" w:rsidRDefault="00810DE9" w:rsidP="00806259">
            <w:pPr>
              <w:jc w:val="both"/>
              <w:rPr>
                <w:rFonts w:ascii="Times New Roman" w:eastAsia="Times New Roman" w:hAnsi="Times New Roman" w:cs="Times New Roman"/>
                <w:b/>
                <w:color w:val="4472C4" w:themeColor="accent5"/>
                <w:sz w:val="24"/>
                <w:szCs w:val="24"/>
                <w:lang w:val="cs-CZ"/>
              </w:rPr>
            </w:pPr>
            <w:r w:rsidRPr="00CF5B13">
              <w:rPr>
                <w:rFonts w:ascii="Times New Roman" w:eastAsia="Times New Roman" w:hAnsi="Times New Roman" w:cs="Times New Roman"/>
                <w:b/>
                <w:color w:val="4472C4" w:themeColor="accent5"/>
                <w:sz w:val="24"/>
                <w:szCs w:val="24"/>
                <w:lang w:val="cs-CZ"/>
              </w:rPr>
              <w:t xml:space="preserve">4.6 </w:t>
            </w:r>
            <w:r w:rsidR="008965A7" w:rsidRPr="00CF5B13">
              <w:rPr>
                <w:rFonts w:ascii="Times New Roman" w:eastAsia="Times New Roman" w:hAnsi="Times New Roman" w:cs="Times New Roman"/>
                <w:b/>
                <w:color w:val="4472C4" w:themeColor="accent5"/>
                <w:sz w:val="24"/>
                <w:szCs w:val="24"/>
                <w:lang w:val="cs-CZ"/>
              </w:rPr>
              <w:t>V rámci vládního „Programu aktivit na podporu zdrojových a tranzitních zemí migrace v Africe v období 2020 – 2022“ realizovat v r. 2021 a 2022 minimálně jednu aktivitu v rámci 3. pilíře „Dobré vládnutí, sociální rozvoj“, jejíž realizace výrazným způsobem zohlední Agendu WPS.</w:t>
            </w:r>
            <w:r w:rsidRPr="00CF5B13">
              <w:rPr>
                <w:rFonts w:ascii="Times New Roman" w:eastAsia="Times New Roman" w:hAnsi="Times New Roman" w:cs="Times New Roman"/>
                <w:b/>
                <w:color w:val="4472C4" w:themeColor="accent5"/>
                <w:sz w:val="24"/>
                <w:szCs w:val="24"/>
                <w:lang w:val="cs-CZ"/>
              </w:rPr>
              <w:t xml:space="preserve"> </w:t>
            </w:r>
          </w:p>
          <w:p w:rsidR="00225C05" w:rsidRPr="00CF5B13" w:rsidRDefault="00810DE9" w:rsidP="003B2FE7">
            <w:pPr>
              <w:spacing w:after="120"/>
              <w:jc w:val="both"/>
              <w:rPr>
                <w:rFonts w:ascii="Times New Roman" w:hAnsi="Times New Roman" w:cs="Times New Roman"/>
                <w:b/>
                <w:sz w:val="24"/>
                <w:szCs w:val="24"/>
                <w:lang w:val="cs-CZ"/>
              </w:rPr>
            </w:pPr>
            <w:r w:rsidRPr="00CF5B13">
              <w:rPr>
                <w:rFonts w:ascii="Times New Roman" w:eastAsia="Times New Roman" w:hAnsi="Times New Roman" w:cs="Times New Roman"/>
                <w:b/>
                <w:color w:val="4472C4" w:themeColor="accent5"/>
                <w:sz w:val="24"/>
                <w:szCs w:val="24"/>
                <w:lang w:val="cs-CZ"/>
              </w:rPr>
              <w:t>(MZV)</w:t>
            </w:r>
          </w:p>
        </w:tc>
        <w:tc>
          <w:tcPr>
            <w:tcW w:w="2693" w:type="dxa"/>
          </w:tcPr>
          <w:p w:rsidR="00225C05" w:rsidRPr="00CF5B13" w:rsidRDefault="003616F7" w:rsidP="00806259">
            <w:pPr>
              <w:jc w:val="both"/>
              <w:rPr>
                <w:rFonts w:ascii="Times New Roman" w:hAnsi="Times New Roman" w:cs="Times New Roman"/>
                <w:b/>
                <w:color w:val="4472C4" w:themeColor="accent5"/>
                <w:sz w:val="24"/>
                <w:szCs w:val="24"/>
                <w:lang w:val="cs-CZ"/>
              </w:rPr>
            </w:pPr>
            <w:r w:rsidRPr="00CF5B13">
              <w:rPr>
                <w:rFonts w:ascii="Times New Roman" w:hAnsi="Times New Roman" w:cs="Times New Roman"/>
                <w:b/>
                <w:color w:val="4472C4" w:themeColor="accent5"/>
                <w:sz w:val="24"/>
                <w:szCs w:val="24"/>
                <w:lang w:val="cs-CZ"/>
              </w:rPr>
              <w:t xml:space="preserve"> </w:t>
            </w:r>
            <w:r w:rsidR="00F57188" w:rsidRPr="00CF5B13">
              <w:rPr>
                <w:rFonts w:ascii="Times New Roman" w:eastAsia="Times New Roman" w:hAnsi="Times New Roman" w:cs="Times New Roman"/>
                <w:b/>
                <w:color w:val="4472C4" w:themeColor="accent5"/>
                <w:sz w:val="24"/>
                <w:szCs w:val="24"/>
                <w:lang w:val="cs-CZ"/>
              </w:rPr>
              <w:t>Splněno</w:t>
            </w:r>
          </w:p>
        </w:tc>
      </w:tr>
      <w:tr w:rsidR="008965A7" w:rsidRPr="00412C4E" w:rsidTr="00331DE5">
        <w:tc>
          <w:tcPr>
            <w:tcW w:w="10201" w:type="dxa"/>
            <w:gridSpan w:val="2"/>
          </w:tcPr>
          <w:p w:rsidR="00F57188" w:rsidRPr="00CF5B13" w:rsidRDefault="003616F7" w:rsidP="009253CD">
            <w:pPr>
              <w:jc w:val="both"/>
              <w:rPr>
                <w:rFonts w:ascii="Times New Roman" w:hAnsi="Times New Roman" w:cs="Times New Roman"/>
                <w:sz w:val="24"/>
                <w:szCs w:val="24"/>
                <w:lang w:val="cs-CZ"/>
              </w:rPr>
            </w:pPr>
            <w:r w:rsidRPr="00CF5B13">
              <w:rPr>
                <w:rFonts w:ascii="Times New Roman" w:hAnsi="Times New Roman" w:cs="Times New Roman"/>
                <w:sz w:val="24"/>
                <w:szCs w:val="24"/>
                <w:lang w:val="cs-CZ"/>
              </w:rPr>
              <w:t xml:space="preserve"> </w:t>
            </w:r>
            <w:r w:rsidR="00F57188" w:rsidRPr="00CF5B13">
              <w:rPr>
                <w:rFonts w:ascii="Times New Roman" w:hAnsi="Times New Roman" w:cs="Times New Roman"/>
                <w:sz w:val="24"/>
                <w:szCs w:val="24"/>
                <w:lang w:val="cs-CZ"/>
              </w:rPr>
              <w:t xml:space="preserve">V období 2020-22 byl podpořen víceletý program UNDP zaměřený na podporu žen v kontextu WPS v zemích Afrického rohu (Etiopie, 2020) a Sahelu (Mali, Burkina Faso, 2021). Jednalo se o projekt </w:t>
            </w:r>
            <w:r w:rsidR="00F57188" w:rsidRPr="00441CAB">
              <w:rPr>
                <w:rFonts w:ascii="Times New Roman" w:hAnsi="Times New Roman" w:cs="Times New Roman"/>
                <w:i/>
                <w:sz w:val="24"/>
                <w:szCs w:val="24"/>
                <w:lang w:val="cs-CZ"/>
              </w:rPr>
              <w:t>„Preventing and responding to violent extremism in Africa“</w:t>
            </w:r>
            <w:r w:rsidR="00F57188" w:rsidRPr="00CF5B13">
              <w:rPr>
                <w:rFonts w:ascii="Times New Roman" w:hAnsi="Times New Roman" w:cs="Times New Roman"/>
                <w:sz w:val="24"/>
                <w:szCs w:val="24"/>
                <w:lang w:val="cs-CZ"/>
              </w:rPr>
              <w:t xml:space="preserve"> a projekt na prevenci sexuálního násilí v táborech pro uprchlíky a vnitřně vysídlené osoby.</w:t>
            </w:r>
          </w:p>
          <w:p w:rsidR="008965A7" w:rsidRPr="00CF5B13" w:rsidRDefault="008965A7" w:rsidP="00F57188">
            <w:pPr>
              <w:jc w:val="both"/>
              <w:rPr>
                <w:rFonts w:ascii="Times New Roman" w:hAnsi="Times New Roman" w:cs="Times New Roman"/>
                <w:sz w:val="24"/>
                <w:szCs w:val="24"/>
                <w:lang w:val="cs-CZ"/>
              </w:rPr>
            </w:pPr>
          </w:p>
        </w:tc>
      </w:tr>
    </w:tbl>
    <w:p w:rsidR="0012339F" w:rsidRPr="00CF5B13" w:rsidRDefault="0012339F" w:rsidP="00B20DCC">
      <w:pPr>
        <w:pStyle w:val="Nadpis1"/>
        <w:rPr>
          <w:lang w:val="cs-CZ"/>
        </w:rPr>
      </w:pPr>
    </w:p>
    <w:p w:rsidR="00806259" w:rsidRPr="00CF5B13" w:rsidRDefault="0012339F" w:rsidP="0012339F">
      <w:pPr>
        <w:rPr>
          <w:rFonts w:ascii="Times New Roman" w:eastAsiaTheme="majorEastAsia" w:hAnsi="Times New Roman" w:cstheme="majorBidi"/>
          <w:b/>
          <w:sz w:val="32"/>
          <w:szCs w:val="32"/>
          <w:u w:val="single"/>
          <w:lang w:val="cs-CZ"/>
        </w:rPr>
      </w:pPr>
      <w:r w:rsidRPr="00CF5B13">
        <w:rPr>
          <w:lang w:val="cs-CZ"/>
        </w:rPr>
        <w:br w:type="page"/>
      </w:r>
    </w:p>
    <w:p w:rsidR="00B20DCC" w:rsidRPr="00CF5B13" w:rsidRDefault="00D23034" w:rsidP="00D23034">
      <w:pPr>
        <w:pStyle w:val="Nadpis1"/>
        <w:rPr>
          <w:lang w:val="cs-CZ"/>
        </w:rPr>
      </w:pPr>
      <w:bookmarkStart w:id="10" w:name="_Toc134015677"/>
      <w:r w:rsidRPr="00CF5B13">
        <w:rPr>
          <w:lang w:val="cs-CZ"/>
        </w:rPr>
        <w:lastRenderedPageBreak/>
        <w:t>S</w:t>
      </w:r>
      <w:r w:rsidR="00B20DCC" w:rsidRPr="00CF5B13">
        <w:rPr>
          <w:lang w:val="cs-CZ"/>
        </w:rPr>
        <w:t>eznam</w:t>
      </w:r>
      <w:r w:rsidRPr="00CF5B13">
        <w:rPr>
          <w:lang w:val="cs-CZ"/>
        </w:rPr>
        <w:t xml:space="preserve"> zkratek</w:t>
      </w:r>
      <w:bookmarkEnd w:id="10"/>
    </w:p>
    <w:p w:rsidR="002136EC" w:rsidRPr="00CF5B13" w:rsidRDefault="002136EC" w:rsidP="002136EC">
      <w:pPr>
        <w:rPr>
          <w:lang w:val="cs-CZ"/>
        </w:rPr>
      </w:pPr>
    </w:p>
    <w:p w:rsidR="00420FA6" w:rsidRPr="00CF5B13" w:rsidRDefault="00420FA6" w:rsidP="002136EC">
      <w:pPr>
        <w:rPr>
          <w:rFonts w:ascii="Times New Roman" w:hAnsi="Times New Roman" w:cs="Times New Roman"/>
          <w:sz w:val="24"/>
          <w:szCs w:val="24"/>
          <w:lang w:val="cs-CZ"/>
        </w:rPr>
      </w:pPr>
      <w:r w:rsidRPr="00CF5B13">
        <w:rPr>
          <w:rFonts w:ascii="Times New Roman" w:hAnsi="Times New Roman" w:cs="Times New Roman"/>
          <w:sz w:val="24"/>
          <w:szCs w:val="24"/>
          <w:lang w:val="cs-CZ"/>
        </w:rPr>
        <w:t>AČR – Armáda České republiky</w:t>
      </w:r>
    </w:p>
    <w:p w:rsidR="00184F25" w:rsidRPr="00CF5B13" w:rsidRDefault="00184F25" w:rsidP="002136EC">
      <w:pPr>
        <w:rPr>
          <w:rFonts w:ascii="Times New Roman" w:hAnsi="Times New Roman" w:cs="Times New Roman"/>
          <w:sz w:val="24"/>
          <w:szCs w:val="24"/>
          <w:lang w:val="cs-CZ"/>
        </w:rPr>
      </w:pPr>
      <w:r w:rsidRPr="00CF5B13">
        <w:rPr>
          <w:rFonts w:ascii="Times New Roman" w:hAnsi="Times New Roman" w:cs="Times New Roman"/>
          <w:sz w:val="24"/>
          <w:szCs w:val="24"/>
          <w:lang w:val="cs-CZ"/>
        </w:rPr>
        <w:t>CZ PRES – předsednictví ČR v Radě EU</w:t>
      </w:r>
    </w:p>
    <w:p w:rsidR="002136EC" w:rsidRPr="00CF5B13" w:rsidRDefault="002136EC" w:rsidP="002136EC">
      <w:pPr>
        <w:rPr>
          <w:rFonts w:ascii="Times New Roman" w:hAnsi="Times New Roman" w:cs="Times New Roman"/>
          <w:sz w:val="24"/>
          <w:szCs w:val="24"/>
          <w:lang w:val="cs-CZ"/>
        </w:rPr>
      </w:pPr>
      <w:r w:rsidRPr="00CF5B13">
        <w:rPr>
          <w:rFonts w:ascii="Times New Roman" w:hAnsi="Times New Roman" w:cs="Times New Roman"/>
          <w:sz w:val="24"/>
          <w:szCs w:val="24"/>
          <w:lang w:val="cs-CZ"/>
        </w:rPr>
        <w:t>ČRA – Česká rozvojová agentura</w:t>
      </w:r>
    </w:p>
    <w:p w:rsidR="002136EC" w:rsidRPr="00CF5B13" w:rsidRDefault="002136EC" w:rsidP="002136EC">
      <w:pPr>
        <w:rPr>
          <w:rFonts w:ascii="Times New Roman" w:hAnsi="Times New Roman" w:cs="Times New Roman"/>
          <w:sz w:val="24"/>
          <w:szCs w:val="24"/>
          <w:lang w:val="cs-CZ"/>
        </w:rPr>
      </w:pPr>
      <w:r w:rsidRPr="00CF5B13">
        <w:rPr>
          <w:rFonts w:ascii="Times New Roman" w:hAnsi="Times New Roman" w:cs="Times New Roman"/>
          <w:sz w:val="24"/>
          <w:szCs w:val="24"/>
          <w:lang w:val="cs-CZ"/>
        </w:rPr>
        <w:t>EASO – Evropský podpůrný úřad pro otázky azylu</w:t>
      </w:r>
    </w:p>
    <w:p w:rsidR="002136EC" w:rsidRPr="00CF5B13" w:rsidRDefault="002136EC" w:rsidP="002136EC">
      <w:pPr>
        <w:rPr>
          <w:rFonts w:ascii="Times New Roman" w:hAnsi="Times New Roman" w:cs="Times New Roman"/>
          <w:sz w:val="24"/>
          <w:szCs w:val="24"/>
          <w:lang w:val="cs-CZ"/>
        </w:rPr>
      </w:pPr>
      <w:r w:rsidRPr="00CF5B13">
        <w:rPr>
          <w:rFonts w:ascii="Times New Roman" w:hAnsi="Times New Roman" w:cs="Times New Roman"/>
          <w:sz w:val="24"/>
          <w:szCs w:val="24"/>
          <w:lang w:val="cs-CZ"/>
        </w:rPr>
        <w:t>ESVA – Evropsk</w:t>
      </w:r>
      <w:r w:rsidR="00EA5F6F" w:rsidRPr="00CF5B13">
        <w:rPr>
          <w:rFonts w:ascii="Times New Roman" w:hAnsi="Times New Roman" w:cs="Times New Roman"/>
          <w:sz w:val="24"/>
          <w:szCs w:val="24"/>
          <w:lang w:val="cs-CZ"/>
        </w:rPr>
        <w:t>á</w:t>
      </w:r>
      <w:r w:rsidRPr="00CF5B13">
        <w:rPr>
          <w:rFonts w:ascii="Times New Roman" w:hAnsi="Times New Roman" w:cs="Times New Roman"/>
          <w:sz w:val="24"/>
          <w:szCs w:val="24"/>
          <w:lang w:val="cs-CZ"/>
        </w:rPr>
        <w:t xml:space="preserve"> služb</w:t>
      </w:r>
      <w:r w:rsidR="00EA5F6F" w:rsidRPr="00CF5B13">
        <w:rPr>
          <w:rFonts w:ascii="Times New Roman" w:hAnsi="Times New Roman" w:cs="Times New Roman"/>
          <w:sz w:val="24"/>
          <w:szCs w:val="24"/>
          <w:lang w:val="cs-CZ"/>
        </w:rPr>
        <w:t>a</w:t>
      </w:r>
      <w:r w:rsidRPr="00CF5B13">
        <w:rPr>
          <w:rFonts w:ascii="Times New Roman" w:hAnsi="Times New Roman" w:cs="Times New Roman"/>
          <w:sz w:val="24"/>
          <w:szCs w:val="24"/>
          <w:lang w:val="cs-CZ"/>
        </w:rPr>
        <w:t xml:space="preserve"> vnější akce</w:t>
      </w:r>
    </w:p>
    <w:p w:rsidR="002136EC" w:rsidRPr="00CF5B13" w:rsidRDefault="002136EC" w:rsidP="002136EC">
      <w:pPr>
        <w:rPr>
          <w:rFonts w:ascii="Times New Roman" w:hAnsi="Times New Roman" w:cs="Times New Roman"/>
          <w:sz w:val="24"/>
          <w:szCs w:val="24"/>
          <w:lang w:val="cs-CZ"/>
        </w:rPr>
      </w:pPr>
      <w:r w:rsidRPr="00CF5B13">
        <w:rPr>
          <w:rFonts w:ascii="Times New Roman" w:hAnsi="Times New Roman" w:cs="Times New Roman"/>
          <w:sz w:val="24"/>
          <w:szCs w:val="24"/>
          <w:lang w:val="cs-CZ"/>
        </w:rPr>
        <w:t>EU – Evropská unie</w:t>
      </w:r>
    </w:p>
    <w:p w:rsidR="00E56202" w:rsidRPr="00CF5B13" w:rsidRDefault="00E56202" w:rsidP="002136EC">
      <w:pPr>
        <w:rPr>
          <w:rFonts w:ascii="Times New Roman" w:hAnsi="Times New Roman" w:cs="Times New Roman"/>
          <w:sz w:val="24"/>
          <w:szCs w:val="24"/>
          <w:lang w:val="cs-CZ"/>
        </w:rPr>
      </w:pPr>
      <w:r w:rsidRPr="00CF5B13">
        <w:rPr>
          <w:rFonts w:ascii="Times New Roman" w:hAnsi="Times New Roman" w:cs="Times New Roman"/>
          <w:sz w:val="24"/>
          <w:szCs w:val="24"/>
          <w:lang w:val="cs-CZ"/>
        </w:rPr>
        <w:t>GAP III – Genderový akční plán Evropské unie</w:t>
      </w:r>
    </w:p>
    <w:p w:rsidR="002136EC" w:rsidRPr="00CF5B13" w:rsidRDefault="002136EC" w:rsidP="002136EC">
      <w:pPr>
        <w:rPr>
          <w:rFonts w:ascii="Times New Roman" w:hAnsi="Times New Roman" w:cs="Times New Roman"/>
          <w:sz w:val="24"/>
          <w:szCs w:val="24"/>
          <w:lang w:val="cs-CZ"/>
        </w:rPr>
      </w:pPr>
      <w:r w:rsidRPr="00CF5B13">
        <w:rPr>
          <w:rFonts w:ascii="Times New Roman" w:hAnsi="Times New Roman" w:cs="Times New Roman"/>
          <w:sz w:val="24"/>
          <w:szCs w:val="24"/>
          <w:lang w:val="cs-CZ"/>
        </w:rPr>
        <w:t>MO – Ministerstvo obrany</w:t>
      </w:r>
    </w:p>
    <w:p w:rsidR="00C6079D" w:rsidRPr="00CF5B13" w:rsidRDefault="00C6079D" w:rsidP="002136EC">
      <w:pPr>
        <w:rPr>
          <w:rFonts w:ascii="Times New Roman" w:hAnsi="Times New Roman" w:cs="Times New Roman"/>
          <w:sz w:val="24"/>
          <w:szCs w:val="24"/>
          <w:lang w:val="cs-CZ"/>
        </w:rPr>
      </w:pPr>
      <w:r w:rsidRPr="00CF5B13">
        <w:rPr>
          <w:rFonts w:ascii="Times New Roman" w:hAnsi="Times New Roman" w:cs="Times New Roman"/>
          <w:sz w:val="24"/>
          <w:szCs w:val="24"/>
          <w:lang w:val="cs-CZ"/>
        </w:rPr>
        <w:t>MSp – Ministerstvo spravedlnosti</w:t>
      </w:r>
    </w:p>
    <w:p w:rsidR="002136EC" w:rsidRPr="00CF5B13" w:rsidRDefault="002136EC" w:rsidP="002136EC">
      <w:pPr>
        <w:rPr>
          <w:rFonts w:ascii="Times New Roman" w:hAnsi="Times New Roman" w:cs="Times New Roman"/>
          <w:sz w:val="24"/>
          <w:szCs w:val="24"/>
          <w:lang w:val="cs-CZ"/>
        </w:rPr>
      </w:pPr>
      <w:r w:rsidRPr="00CF5B13">
        <w:rPr>
          <w:rFonts w:ascii="Times New Roman" w:hAnsi="Times New Roman" w:cs="Times New Roman"/>
          <w:sz w:val="24"/>
          <w:szCs w:val="24"/>
          <w:lang w:val="cs-CZ"/>
        </w:rPr>
        <w:t>MV – Ministerstvo vnitra</w:t>
      </w:r>
    </w:p>
    <w:p w:rsidR="002136EC" w:rsidRPr="00CF5B13" w:rsidRDefault="002136EC" w:rsidP="002136EC">
      <w:pPr>
        <w:rPr>
          <w:rFonts w:ascii="Times New Roman" w:hAnsi="Times New Roman" w:cs="Times New Roman"/>
          <w:sz w:val="24"/>
          <w:szCs w:val="24"/>
          <w:lang w:val="cs-CZ"/>
        </w:rPr>
      </w:pPr>
      <w:r w:rsidRPr="00CF5B13">
        <w:rPr>
          <w:rFonts w:ascii="Times New Roman" w:hAnsi="Times New Roman" w:cs="Times New Roman"/>
          <w:sz w:val="24"/>
          <w:szCs w:val="24"/>
          <w:lang w:val="cs-CZ"/>
        </w:rPr>
        <w:t>MZV – Ministerstvo zahraničních věcí</w:t>
      </w:r>
    </w:p>
    <w:p w:rsidR="00C6079D" w:rsidRPr="00CF5B13" w:rsidRDefault="002136EC" w:rsidP="002136EC">
      <w:pPr>
        <w:rPr>
          <w:rFonts w:ascii="Times New Roman" w:hAnsi="Times New Roman" w:cs="Times New Roman"/>
          <w:sz w:val="24"/>
          <w:szCs w:val="24"/>
          <w:lang w:val="cs-CZ"/>
        </w:rPr>
      </w:pPr>
      <w:r w:rsidRPr="00CF5B13">
        <w:rPr>
          <w:rFonts w:ascii="Times New Roman" w:hAnsi="Times New Roman" w:cs="Times New Roman"/>
          <w:sz w:val="24"/>
          <w:szCs w:val="24"/>
          <w:lang w:val="cs-CZ"/>
        </w:rPr>
        <w:t>NATO – Severoatlantická aliance</w:t>
      </w:r>
    </w:p>
    <w:p w:rsidR="002136EC" w:rsidRPr="00CF5B13" w:rsidRDefault="00C6079D" w:rsidP="002136EC">
      <w:pPr>
        <w:rPr>
          <w:rFonts w:ascii="Times New Roman" w:hAnsi="Times New Roman" w:cs="Times New Roman"/>
          <w:sz w:val="24"/>
          <w:szCs w:val="24"/>
          <w:lang w:val="cs-CZ"/>
        </w:rPr>
      </w:pPr>
      <w:r w:rsidRPr="00CF5B13">
        <w:rPr>
          <w:rFonts w:ascii="Times New Roman" w:hAnsi="Times New Roman" w:cs="Times New Roman"/>
          <w:sz w:val="24"/>
          <w:szCs w:val="24"/>
          <w:lang w:val="cs-CZ"/>
        </w:rPr>
        <w:t>NAP – Národní akční plán k Agendě ženy, mír a bezpečnost</w:t>
      </w:r>
      <w:r w:rsidR="002136EC" w:rsidRPr="00CF5B13">
        <w:rPr>
          <w:rFonts w:ascii="Times New Roman" w:hAnsi="Times New Roman" w:cs="Times New Roman"/>
          <w:sz w:val="24"/>
          <w:szCs w:val="24"/>
          <w:lang w:val="cs-CZ"/>
        </w:rPr>
        <w:t xml:space="preserve"> </w:t>
      </w:r>
    </w:p>
    <w:p w:rsidR="002136EC" w:rsidRPr="00CF5B13" w:rsidRDefault="002136EC" w:rsidP="002136EC">
      <w:pPr>
        <w:rPr>
          <w:rFonts w:ascii="Times New Roman" w:hAnsi="Times New Roman" w:cs="Times New Roman"/>
          <w:sz w:val="24"/>
          <w:szCs w:val="24"/>
          <w:lang w:val="cs-CZ"/>
        </w:rPr>
      </w:pPr>
      <w:r w:rsidRPr="00CF5B13">
        <w:rPr>
          <w:rFonts w:ascii="Times New Roman" w:hAnsi="Times New Roman" w:cs="Times New Roman"/>
          <w:sz w:val="24"/>
          <w:szCs w:val="24"/>
          <w:lang w:val="cs-CZ"/>
        </w:rPr>
        <w:t>NNO – Nestátní neziskové organizace</w:t>
      </w:r>
    </w:p>
    <w:p w:rsidR="002136EC" w:rsidRPr="00CF5B13" w:rsidRDefault="002136EC" w:rsidP="002136EC">
      <w:pPr>
        <w:rPr>
          <w:rFonts w:ascii="Times New Roman" w:hAnsi="Times New Roman" w:cs="Times New Roman"/>
          <w:sz w:val="24"/>
          <w:szCs w:val="24"/>
          <w:lang w:val="cs-CZ"/>
        </w:rPr>
      </w:pPr>
      <w:r w:rsidRPr="00CF5B13">
        <w:rPr>
          <w:rFonts w:ascii="Times New Roman" w:hAnsi="Times New Roman" w:cs="Times New Roman"/>
          <w:sz w:val="24"/>
          <w:szCs w:val="24"/>
          <w:lang w:val="cs-CZ"/>
        </w:rPr>
        <w:t>OSN – Organizace spojených národů</w:t>
      </w:r>
    </w:p>
    <w:p w:rsidR="002136EC" w:rsidRPr="00CF5B13" w:rsidRDefault="002136EC" w:rsidP="002136EC">
      <w:pPr>
        <w:rPr>
          <w:rFonts w:ascii="Times New Roman" w:hAnsi="Times New Roman" w:cs="Times New Roman"/>
          <w:sz w:val="24"/>
          <w:szCs w:val="24"/>
          <w:lang w:val="cs-CZ"/>
        </w:rPr>
      </w:pPr>
      <w:r w:rsidRPr="00CF5B13">
        <w:rPr>
          <w:rFonts w:ascii="Times New Roman" w:hAnsi="Times New Roman" w:cs="Times New Roman"/>
          <w:sz w:val="24"/>
          <w:szCs w:val="24"/>
          <w:lang w:val="cs-CZ"/>
        </w:rPr>
        <w:t>RB OSN – Rada bezpečnosti Organizace spojených národů</w:t>
      </w:r>
    </w:p>
    <w:p w:rsidR="002136EC" w:rsidRPr="00CF5B13" w:rsidRDefault="002136EC" w:rsidP="002136EC">
      <w:pPr>
        <w:rPr>
          <w:rFonts w:ascii="Times New Roman" w:hAnsi="Times New Roman" w:cs="Times New Roman"/>
          <w:sz w:val="24"/>
          <w:szCs w:val="24"/>
          <w:lang w:val="cs-CZ"/>
        </w:rPr>
      </w:pPr>
      <w:r w:rsidRPr="00CF5B13">
        <w:rPr>
          <w:rFonts w:ascii="Times New Roman" w:hAnsi="Times New Roman" w:cs="Times New Roman"/>
          <w:sz w:val="24"/>
          <w:szCs w:val="24"/>
          <w:lang w:val="cs-CZ"/>
        </w:rPr>
        <w:t>RLP – Rada OSN pro lidská práva</w:t>
      </w:r>
    </w:p>
    <w:p w:rsidR="002136EC" w:rsidRPr="00CF5B13" w:rsidRDefault="002136EC" w:rsidP="002136EC">
      <w:pPr>
        <w:rPr>
          <w:rFonts w:ascii="Times New Roman" w:hAnsi="Times New Roman" w:cs="Times New Roman"/>
          <w:sz w:val="24"/>
          <w:szCs w:val="24"/>
          <w:lang w:val="cs-CZ"/>
        </w:rPr>
      </w:pPr>
      <w:r w:rsidRPr="00CF5B13">
        <w:rPr>
          <w:rFonts w:ascii="Times New Roman" w:hAnsi="Times New Roman" w:cs="Times New Roman"/>
          <w:sz w:val="24"/>
          <w:szCs w:val="24"/>
          <w:lang w:val="cs-CZ"/>
        </w:rPr>
        <w:t>SPŠ MV – Střední policejní škola Ministerstva vnitra</w:t>
      </w:r>
    </w:p>
    <w:p w:rsidR="00696410" w:rsidRPr="00CF5B13" w:rsidRDefault="00696410" w:rsidP="002136EC">
      <w:pPr>
        <w:rPr>
          <w:rFonts w:ascii="Times New Roman" w:hAnsi="Times New Roman" w:cs="Times New Roman"/>
          <w:sz w:val="24"/>
          <w:szCs w:val="24"/>
          <w:lang w:val="cs-CZ"/>
        </w:rPr>
      </w:pPr>
      <w:r w:rsidRPr="00CF5B13">
        <w:rPr>
          <w:rFonts w:ascii="Times New Roman" w:hAnsi="Times New Roman" w:cs="Times New Roman"/>
          <w:sz w:val="24"/>
          <w:szCs w:val="24"/>
          <w:lang w:val="cs-CZ"/>
        </w:rPr>
        <w:t xml:space="preserve">UN WOMEN – Entita OSN zastřešující agendu rovnosti žen </w:t>
      </w:r>
    </w:p>
    <w:p w:rsidR="002136EC" w:rsidRPr="00CF5B13" w:rsidRDefault="002136EC" w:rsidP="002136EC">
      <w:pPr>
        <w:rPr>
          <w:rFonts w:ascii="Times New Roman" w:hAnsi="Times New Roman" w:cs="Times New Roman"/>
          <w:sz w:val="24"/>
          <w:szCs w:val="24"/>
          <w:lang w:val="cs-CZ"/>
        </w:rPr>
      </w:pPr>
      <w:r w:rsidRPr="00CF5B13">
        <w:rPr>
          <w:rFonts w:ascii="Times New Roman" w:hAnsi="Times New Roman" w:cs="Times New Roman"/>
          <w:sz w:val="24"/>
          <w:szCs w:val="24"/>
          <w:lang w:val="cs-CZ"/>
        </w:rPr>
        <w:t>ÚV – Úřad vlády</w:t>
      </w:r>
    </w:p>
    <w:p w:rsidR="002136EC" w:rsidRPr="00CF5B13" w:rsidRDefault="002136EC" w:rsidP="002136EC">
      <w:pPr>
        <w:rPr>
          <w:rFonts w:ascii="Times New Roman" w:hAnsi="Times New Roman" w:cs="Times New Roman"/>
          <w:sz w:val="24"/>
          <w:szCs w:val="24"/>
          <w:lang w:val="cs-CZ"/>
        </w:rPr>
      </w:pPr>
      <w:r w:rsidRPr="00CF5B13">
        <w:rPr>
          <w:rFonts w:ascii="Times New Roman" w:hAnsi="Times New Roman" w:cs="Times New Roman"/>
          <w:sz w:val="24"/>
          <w:szCs w:val="24"/>
          <w:lang w:val="cs-CZ"/>
        </w:rPr>
        <w:t>VeV-VA – Vojenská akademie ve Vyškově</w:t>
      </w:r>
    </w:p>
    <w:p w:rsidR="002136EC" w:rsidRPr="00CF5B13" w:rsidRDefault="002136EC" w:rsidP="002136EC">
      <w:pPr>
        <w:rPr>
          <w:rFonts w:ascii="Times New Roman" w:hAnsi="Times New Roman" w:cs="Times New Roman"/>
          <w:sz w:val="24"/>
          <w:szCs w:val="24"/>
          <w:lang w:val="cs-CZ"/>
        </w:rPr>
      </w:pPr>
      <w:r w:rsidRPr="00CF5B13">
        <w:rPr>
          <w:rFonts w:ascii="Times New Roman" w:hAnsi="Times New Roman" w:cs="Times New Roman"/>
          <w:sz w:val="24"/>
          <w:szCs w:val="24"/>
          <w:lang w:val="cs-CZ"/>
        </w:rPr>
        <w:t>VPŠ</w:t>
      </w:r>
      <w:r w:rsidR="00C30418" w:rsidRPr="00CF5B13">
        <w:rPr>
          <w:rFonts w:ascii="Times New Roman" w:hAnsi="Times New Roman" w:cs="Times New Roman"/>
          <w:sz w:val="24"/>
          <w:szCs w:val="24"/>
          <w:lang w:val="cs-CZ"/>
        </w:rPr>
        <w:t xml:space="preserve"> a SPŠ MV</w:t>
      </w:r>
      <w:r w:rsidRPr="00CF5B13">
        <w:rPr>
          <w:rFonts w:ascii="Times New Roman" w:hAnsi="Times New Roman" w:cs="Times New Roman"/>
          <w:sz w:val="24"/>
          <w:szCs w:val="24"/>
          <w:lang w:val="cs-CZ"/>
        </w:rPr>
        <w:t xml:space="preserve"> – Vyšší policejní škola</w:t>
      </w:r>
      <w:r w:rsidR="00C30418" w:rsidRPr="00CF5B13">
        <w:rPr>
          <w:rFonts w:ascii="Times New Roman" w:hAnsi="Times New Roman" w:cs="Times New Roman"/>
          <w:sz w:val="24"/>
          <w:szCs w:val="24"/>
          <w:lang w:val="cs-CZ"/>
        </w:rPr>
        <w:t xml:space="preserve"> a Střední policejní škola Ministerstva vnitra</w:t>
      </w:r>
    </w:p>
    <w:p w:rsidR="00210485" w:rsidRPr="00CF5B13" w:rsidRDefault="00210485" w:rsidP="002136EC">
      <w:pPr>
        <w:rPr>
          <w:rFonts w:ascii="Times New Roman" w:hAnsi="Times New Roman" w:cs="Times New Roman"/>
          <w:sz w:val="24"/>
          <w:szCs w:val="24"/>
          <w:lang w:val="cs-CZ"/>
        </w:rPr>
      </w:pPr>
      <w:r w:rsidRPr="00CF5B13">
        <w:rPr>
          <w:rFonts w:ascii="Times New Roman" w:hAnsi="Times New Roman" w:cs="Times New Roman"/>
          <w:sz w:val="24"/>
          <w:szCs w:val="24"/>
          <w:lang w:val="cs-CZ"/>
        </w:rPr>
        <w:t>VS OSN – Valné shromáždění Organizace spojených národů</w:t>
      </w:r>
    </w:p>
    <w:p w:rsidR="002136EC" w:rsidRPr="00CF5B13" w:rsidRDefault="002136EC" w:rsidP="002136EC">
      <w:pPr>
        <w:rPr>
          <w:rFonts w:ascii="Times New Roman" w:hAnsi="Times New Roman" w:cs="Times New Roman"/>
          <w:sz w:val="24"/>
          <w:szCs w:val="24"/>
          <w:lang w:val="cs-CZ"/>
        </w:rPr>
      </w:pPr>
      <w:r w:rsidRPr="00CF5B13">
        <w:rPr>
          <w:rFonts w:ascii="Times New Roman" w:hAnsi="Times New Roman" w:cs="Times New Roman"/>
          <w:sz w:val="24"/>
          <w:szCs w:val="24"/>
          <w:lang w:val="cs-CZ"/>
        </w:rPr>
        <w:t>VSŠ VOŠ – Vojenská střední škola a Vyšší odborná škola Ministerstva obrany v Moravské Třebové</w:t>
      </w:r>
    </w:p>
    <w:p w:rsidR="002136EC" w:rsidRPr="00CF5B13" w:rsidRDefault="002136EC" w:rsidP="002136EC">
      <w:pPr>
        <w:rPr>
          <w:rFonts w:ascii="Times New Roman" w:hAnsi="Times New Roman" w:cs="Times New Roman"/>
          <w:sz w:val="24"/>
          <w:szCs w:val="24"/>
          <w:lang w:val="cs-CZ"/>
        </w:rPr>
      </w:pPr>
      <w:r w:rsidRPr="00CF5B13">
        <w:rPr>
          <w:rFonts w:ascii="Times New Roman" w:hAnsi="Times New Roman" w:cs="Times New Roman"/>
          <w:sz w:val="24"/>
          <w:szCs w:val="24"/>
          <w:lang w:val="cs-CZ"/>
        </w:rPr>
        <w:t>WPS – Agenda ženy, mír a bezpečnost</w:t>
      </w:r>
    </w:p>
    <w:p w:rsidR="002136EC" w:rsidRPr="0012339F" w:rsidRDefault="002136EC" w:rsidP="002136EC">
      <w:pPr>
        <w:rPr>
          <w:rFonts w:ascii="Times New Roman" w:hAnsi="Times New Roman" w:cs="Times New Roman"/>
          <w:sz w:val="24"/>
          <w:szCs w:val="24"/>
          <w:lang w:val="cs-CZ"/>
        </w:rPr>
      </w:pPr>
      <w:r w:rsidRPr="00CF5B13">
        <w:rPr>
          <w:rFonts w:ascii="Times New Roman" w:hAnsi="Times New Roman" w:cs="Times New Roman"/>
          <w:sz w:val="24"/>
          <w:szCs w:val="24"/>
          <w:lang w:val="cs-CZ"/>
        </w:rPr>
        <w:t>ZRS – Zahraniční rozvojová spolupráce</w:t>
      </w:r>
    </w:p>
    <w:sectPr w:rsidR="002136EC" w:rsidRPr="0012339F" w:rsidSect="00115A5B">
      <w:headerReference w:type="even" r:id="rId21"/>
      <w:headerReference w:type="default" r:id="rId22"/>
      <w:footerReference w:type="even" r:id="rId23"/>
      <w:footerReference w:type="default" r:id="rId24"/>
      <w:headerReference w:type="first" r:id="rId25"/>
      <w:footerReference w:type="first" r:id="rId26"/>
      <w:pgSz w:w="12240" w:h="15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CA4" w:rsidRDefault="00302CA4" w:rsidP="00DD1FFA">
      <w:pPr>
        <w:spacing w:after="0" w:line="240" w:lineRule="auto"/>
      </w:pPr>
      <w:r>
        <w:separator/>
      </w:r>
    </w:p>
  </w:endnote>
  <w:endnote w:type="continuationSeparator" w:id="0">
    <w:p w:rsidR="00302CA4" w:rsidRDefault="00302CA4" w:rsidP="00DD1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CA4" w:rsidRDefault="00302CA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3626595"/>
      <w:docPartObj>
        <w:docPartGallery w:val="Page Numbers (Bottom of Page)"/>
        <w:docPartUnique/>
      </w:docPartObj>
    </w:sdtPr>
    <w:sdtEndPr/>
    <w:sdtContent>
      <w:p w:rsidR="00302CA4" w:rsidRDefault="00302CA4">
        <w:pPr>
          <w:pStyle w:val="Zpat"/>
          <w:jc w:val="center"/>
        </w:pPr>
        <w:r>
          <w:fldChar w:fldCharType="begin"/>
        </w:r>
        <w:r>
          <w:instrText>PAGE   \* MERGEFORMAT</w:instrText>
        </w:r>
        <w:r>
          <w:fldChar w:fldCharType="separate"/>
        </w:r>
        <w:r w:rsidR="0015742D" w:rsidRPr="0015742D">
          <w:rPr>
            <w:noProof/>
            <w:lang w:val="cs-CZ"/>
          </w:rPr>
          <w:t>3</w:t>
        </w:r>
        <w:r>
          <w:fldChar w:fldCharType="end"/>
        </w:r>
      </w:p>
    </w:sdtContent>
  </w:sdt>
  <w:p w:rsidR="00302CA4" w:rsidRDefault="00302CA4">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CA4" w:rsidRDefault="00302CA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CA4" w:rsidRDefault="00302CA4" w:rsidP="00DD1FFA">
      <w:pPr>
        <w:spacing w:after="0" w:line="240" w:lineRule="auto"/>
      </w:pPr>
      <w:r>
        <w:separator/>
      </w:r>
    </w:p>
  </w:footnote>
  <w:footnote w:type="continuationSeparator" w:id="0">
    <w:p w:rsidR="00302CA4" w:rsidRDefault="00302CA4" w:rsidP="00DD1FFA">
      <w:pPr>
        <w:spacing w:after="0" w:line="240" w:lineRule="auto"/>
      </w:pPr>
      <w:r>
        <w:continuationSeparator/>
      </w:r>
    </w:p>
  </w:footnote>
  <w:footnote w:id="1">
    <w:p w:rsidR="00302CA4" w:rsidRPr="00170078" w:rsidRDefault="00302CA4" w:rsidP="0011719C">
      <w:pPr>
        <w:pStyle w:val="Textpoznpodarou"/>
        <w:jc w:val="both"/>
        <w:rPr>
          <w:rFonts w:ascii="Georgia" w:hAnsi="Georgia"/>
          <w:i/>
          <w:sz w:val="18"/>
          <w:szCs w:val="18"/>
          <w:lang w:val="pt-PT"/>
        </w:rPr>
      </w:pPr>
      <w:r w:rsidRPr="00170078">
        <w:rPr>
          <w:rStyle w:val="Znakapoznpodarou"/>
          <w:rFonts w:ascii="Georgia" w:hAnsi="Georgia"/>
          <w:i/>
          <w:sz w:val="18"/>
          <w:szCs w:val="18"/>
        </w:rPr>
        <w:footnoteRef/>
      </w:r>
      <w:r w:rsidRPr="00170078">
        <w:rPr>
          <w:rFonts w:ascii="Georgia" w:hAnsi="Georgia"/>
          <w:i/>
          <w:sz w:val="18"/>
          <w:szCs w:val="18"/>
          <w:lang w:val="pt-PT"/>
        </w:rPr>
        <w:t xml:space="preserve"> Údaj z dubna 2023 (zdroj: </w:t>
      </w:r>
      <w:hyperlink r:id="rId1" w:history="1">
        <w:r w:rsidR="008277C2" w:rsidRPr="00375EA8">
          <w:rPr>
            <w:rStyle w:val="Hypertextovodkaz"/>
            <w:rFonts w:ascii="Georgia" w:hAnsi="Georgia"/>
            <w:i/>
            <w:sz w:val="18"/>
            <w:szCs w:val="18"/>
            <w:lang w:val="pt-PT"/>
          </w:rPr>
          <w:t>http://1325naps.peacewomen.org</w:t>
        </w:r>
      </w:hyperlink>
      <w:r w:rsidR="008277C2">
        <w:rPr>
          <w:rFonts w:ascii="Georgia" w:hAnsi="Georgia" w:cs="Times New Roman"/>
          <w:i/>
          <w:sz w:val="18"/>
          <w:szCs w:val="18"/>
          <w:lang w:val="pt-PT"/>
        </w:rPr>
        <w:t xml:space="preserve"> </w:t>
      </w:r>
      <w:r w:rsidRPr="00170078">
        <w:rPr>
          <w:rFonts w:ascii="Georgia" w:hAnsi="Georgia"/>
          <w:i/>
          <w:sz w:val="18"/>
          <w:szCs w:val="18"/>
          <w:lang w:val="pt-PT"/>
        </w:rPr>
        <w:t xml:space="preserve">) </w:t>
      </w:r>
    </w:p>
  </w:footnote>
  <w:footnote w:id="2">
    <w:p w:rsidR="00302CA4" w:rsidRPr="00C22E22" w:rsidRDefault="00302CA4" w:rsidP="00F6570C">
      <w:pPr>
        <w:pStyle w:val="Textpoznpodarou"/>
        <w:rPr>
          <w:lang w:val="cs-CZ"/>
        </w:rPr>
      </w:pPr>
      <w:r>
        <w:rPr>
          <w:rStyle w:val="Znakapoznpodarou"/>
        </w:rPr>
        <w:footnoteRef/>
      </w:r>
      <w:r w:rsidRPr="00412C4E">
        <w:rPr>
          <w:lang w:val="cs-CZ"/>
        </w:rPr>
        <w:t xml:space="preserve"> </w:t>
      </w:r>
      <w:hyperlink r:id="rId2" w:history="1">
        <w:r w:rsidR="00441CAB" w:rsidRPr="00375EA8">
          <w:rPr>
            <w:rStyle w:val="Hypertextovodkaz"/>
            <w:rFonts w:ascii="Times New Roman" w:hAnsi="Times New Roman"/>
            <w:i/>
            <w:sz w:val="22"/>
            <w:szCs w:val="22"/>
            <w:lang w:val="cs-CZ"/>
          </w:rPr>
          <w:t>https://acr.army.cz/informacni-servis/zpravodajstvi/osn-chce-stale-vice-zen-v-mirovych-misich-236706/</w:t>
        </w:r>
      </w:hyperlink>
      <w:r w:rsidR="00441CAB">
        <w:rPr>
          <w:rFonts w:ascii="Times New Roman" w:hAnsi="Times New Roman" w:cs="Times New Roman"/>
          <w:i/>
          <w:sz w:val="22"/>
          <w:szCs w:val="22"/>
          <w:lang w:val="cs-CZ"/>
        </w:rPr>
        <w:t xml:space="preserve"> </w:t>
      </w:r>
    </w:p>
  </w:footnote>
  <w:footnote w:id="3">
    <w:p w:rsidR="00302CA4" w:rsidRPr="00412C4E" w:rsidRDefault="00302CA4">
      <w:pPr>
        <w:pStyle w:val="Textpoznpodarou"/>
        <w:rPr>
          <w:rFonts w:ascii="Times New Roman" w:hAnsi="Times New Roman" w:cs="Times New Roman"/>
          <w:i/>
          <w:sz w:val="22"/>
          <w:szCs w:val="22"/>
          <w:lang w:val="cs-CZ"/>
        </w:rPr>
      </w:pPr>
      <w:r w:rsidRPr="00412C4E">
        <w:rPr>
          <w:rStyle w:val="Znakapoznpodarou"/>
          <w:rFonts w:ascii="Times New Roman" w:hAnsi="Times New Roman" w:cs="Times New Roman"/>
          <w:i/>
          <w:sz w:val="22"/>
          <w:szCs w:val="22"/>
        </w:rPr>
        <w:footnoteRef/>
      </w:r>
      <w:r w:rsidRPr="00412C4E">
        <w:rPr>
          <w:rFonts w:ascii="Times New Roman" w:hAnsi="Times New Roman" w:cs="Times New Roman"/>
          <w:i/>
          <w:sz w:val="22"/>
          <w:szCs w:val="22"/>
        </w:rPr>
        <w:t xml:space="preserve"> </w:t>
      </w:r>
      <w:hyperlink r:id="rId3" w:history="1">
        <w:r w:rsidRPr="00412C4E">
          <w:rPr>
            <w:rStyle w:val="Hypertextovodkaz"/>
            <w:rFonts w:ascii="Times New Roman" w:hAnsi="Times New Roman"/>
            <w:i/>
            <w:sz w:val="22"/>
            <w:szCs w:val="22"/>
          </w:rPr>
          <w:t>Transnational Feminist Solidarity with Ukraine’s Resistance and Recovery | Facebook</w:t>
        </w:r>
      </w:hyperlink>
    </w:p>
  </w:footnote>
  <w:footnote w:id="4">
    <w:p w:rsidR="00302CA4" w:rsidRPr="00412C4E" w:rsidRDefault="00302CA4" w:rsidP="00412C4E">
      <w:pPr>
        <w:spacing w:before="120"/>
        <w:jc w:val="both"/>
        <w:rPr>
          <w:rFonts w:ascii="Times New Roman" w:hAnsi="Times New Roman" w:cs="Times New Roman"/>
          <w:sz w:val="24"/>
          <w:szCs w:val="24"/>
          <w:lang w:val="cs-CZ"/>
        </w:rPr>
      </w:pPr>
      <w:r>
        <w:rPr>
          <w:rStyle w:val="Znakapoznpodarou"/>
        </w:rPr>
        <w:footnoteRef/>
      </w:r>
      <w:r>
        <w:t xml:space="preserve"> </w:t>
      </w:r>
      <w:r w:rsidRPr="00412C4E">
        <w:rPr>
          <w:rFonts w:ascii="Times New Roman" w:hAnsi="Times New Roman" w:cs="Times New Roman"/>
          <w:i/>
          <w:lang w:val="cs-CZ"/>
        </w:rPr>
        <w:t xml:space="preserve">Jacobs, A. and Krulišová, K, 2023. Gender Mainstreaming in Peace Operations. in The women, peace and security agenda in military operations. </w:t>
      </w:r>
      <w:hyperlink r:id="rId4" w:history="1">
        <w:r w:rsidRPr="00412C4E">
          <w:rPr>
            <w:rStyle w:val="Hypertextovodkaz"/>
            <w:rFonts w:ascii="Times New Roman" w:hAnsi="Times New Roman"/>
            <w:i/>
            <w:lang w:val="cs-CZ"/>
          </w:rPr>
          <w:t>Howgate Publishing.</w:t>
        </w:r>
      </w:hyperlink>
    </w:p>
  </w:footnote>
  <w:footnote w:id="5">
    <w:p w:rsidR="00441CAB" w:rsidRPr="00412C4E" w:rsidRDefault="00441CAB" w:rsidP="00412C4E">
      <w:pPr>
        <w:jc w:val="both"/>
        <w:rPr>
          <w:rFonts w:ascii="Times New Roman" w:hAnsi="Times New Roman" w:cs="Times New Roman"/>
          <w:i/>
          <w:lang w:val="cs-CZ"/>
        </w:rPr>
      </w:pPr>
      <w:r w:rsidRPr="00412C4E">
        <w:rPr>
          <w:rStyle w:val="Znakapoznpodarou"/>
          <w:rFonts w:ascii="Times New Roman" w:hAnsi="Times New Roman" w:cs="Times New Roman"/>
          <w:i/>
        </w:rPr>
        <w:footnoteRef/>
      </w:r>
      <w:r w:rsidRPr="00412C4E">
        <w:rPr>
          <w:rFonts w:ascii="Times New Roman" w:hAnsi="Times New Roman" w:cs="Times New Roman"/>
          <w:i/>
        </w:rPr>
        <w:t xml:space="preserve"> </w:t>
      </w:r>
      <w:r w:rsidRPr="00412C4E">
        <w:rPr>
          <w:rFonts w:ascii="Times New Roman" w:hAnsi="Times New Roman" w:cs="Times New Roman"/>
          <w:i/>
          <w:lang w:val="cs-CZ"/>
        </w:rPr>
        <w:t xml:space="preserve">Krulišová, K. and O’Sullivan, M., 2022. Feminist Security Studies in Europe: Beyond Western Academics’ Club. In Stern, M &amp; Towns, A. Feminist IR in Europe: Knowledge Production in Academic Institutions  (pp. 33-53). Palgrave Macmillan, Cham. </w:t>
      </w:r>
    </w:p>
  </w:footnote>
  <w:footnote w:id="6">
    <w:p w:rsidR="00441CAB" w:rsidRPr="00412C4E" w:rsidRDefault="00441CAB">
      <w:pPr>
        <w:pStyle w:val="Textpoznpodarou"/>
        <w:rPr>
          <w:rFonts w:ascii="Times New Roman" w:hAnsi="Times New Roman" w:cs="Times New Roman"/>
          <w:i/>
          <w:sz w:val="22"/>
          <w:szCs w:val="22"/>
          <w:lang w:val="cs-CZ"/>
        </w:rPr>
      </w:pPr>
      <w:r w:rsidRPr="00412C4E">
        <w:rPr>
          <w:rStyle w:val="Znakapoznpodarou"/>
          <w:rFonts w:ascii="Times New Roman" w:hAnsi="Times New Roman" w:cs="Times New Roman"/>
          <w:i/>
          <w:sz w:val="22"/>
          <w:szCs w:val="22"/>
        </w:rPr>
        <w:footnoteRef/>
      </w:r>
      <w:r w:rsidRPr="00412C4E">
        <w:rPr>
          <w:rFonts w:ascii="Times New Roman" w:hAnsi="Times New Roman" w:cs="Times New Roman"/>
          <w:i/>
          <w:sz w:val="22"/>
          <w:szCs w:val="22"/>
          <w:lang w:val="cs-CZ"/>
        </w:rPr>
        <w:t xml:space="preserve"> </w:t>
      </w:r>
      <w:hyperlink r:id="rId5" w:history="1">
        <w:r w:rsidRPr="00412C4E">
          <w:rPr>
            <w:rStyle w:val="Hypertextovodkaz"/>
            <w:rFonts w:ascii="Times New Roman" w:hAnsi="Times New Roman"/>
            <w:i/>
            <w:sz w:val="22"/>
            <w:szCs w:val="22"/>
            <w:lang w:val="cs-CZ"/>
          </w:rPr>
          <w:t>https://www</w:t>
        </w:r>
        <w:r w:rsidRPr="00412C4E">
          <w:rPr>
            <w:rStyle w:val="Hypertextovodkaz"/>
            <w:rFonts w:ascii="Times New Roman" w:hAnsi="Times New Roman"/>
            <w:i/>
            <w:sz w:val="22"/>
            <w:szCs w:val="22"/>
            <w:lang w:val="es-ES"/>
          </w:rPr>
          <w:t>.youtube.com/watch?v=SpZjtUW0phY&amp;t=3769s</w:t>
        </w:r>
      </w:hyperlink>
      <w:r>
        <w:rPr>
          <w:rFonts w:ascii="Times New Roman" w:hAnsi="Times New Roman" w:cs="Times New Roman"/>
          <w:i/>
          <w:sz w:val="22"/>
          <w:szCs w:val="22"/>
          <w:lang w:val="cs-CZ"/>
        </w:rPr>
        <w:t xml:space="preserve"> </w:t>
      </w:r>
    </w:p>
  </w:footnote>
  <w:footnote w:id="7">
    <w:p w:rsidR="00441CAB" w:rsidRPr="00412C4E" w:rsidRDefault="00441CAB">
      <w:pPr>
        <w:pStyle w:val="Textpoznpodarou"/>
        <w:rPr>
          <w:rFonts w:ascii="Times New Roman" w:hAnsi="Times New Roman" w:cs="Times New Roman"/>
          <w:i/>
          <w:sz w:val="22"/>
          <w:szCs w:val="22"/>
          <w:lang w:val="cs-CZ"/>
        </w:rPr>
      </w:pPr>
      <w:r w:rsidRPr="00412C4E">
        <w:rPr>
          <w:rStyle w:val="Znakapoznpodarou"/>
          <w:rFonts w:ascii="Times New Roman" w:hAnsi="Times New Roman" w:cs="Times New Roman"/>
          <w:i/>
          <w:sz w:val="22"/>
          <w:szCs w:val="22"/>
        </w:rPr>
        <w:footnoteRef/>
      </w:r>
      <w:r w:rsidRPr="00412C4E">
        <w:rPr>
          <w:rFonts w:ascii="Times New Roman" w:hAnsi="Times New Roman" w:cs="Times New Roman"/>
          <w:i/>
          <w:sz w:val="22"/>
          <w:szCs w:val="22"/>
          <w:lang w:val="pt-PT"/>
        </w:rPr>
        <w:t xml:space="preserve"> </w:t>
      </w:r>
      <w:hyperlink r:id="rId6" w:history="1">
        <w:r w:rsidRPr="00412C4E">
          <w:rPr>
            <w:rStyle w:val="Hypertextovodkaz"/>
            <w:rFonts w:ascii="Times New Roman" w:hAnsi="Times New Roman"/>
            <w:i/>
            <w:sz w:val="22"/>
            <w:szCs w:val="22"/>
            <w:lang w:val="pt-PT"/>
          </w:rPr>
          <w:t>linkypomoci_nove_cj_1678717372.pdf (migrace.com)</w:t>
        </w:r>
      </w:hyperlink>
    </w:p>
  </w:footnote>
  <w:footnote w:id="8">
    <w:p w:rsidR="00441CAB" w:rsidRPr="00412C4E" w:rsidRDefault="00441CAB">
      <w:pPr>
        <w:pStyle w:val="Textpoznpodarou"/>
        <w:rPr>
          <w:rFonts w:ascii="Times New Roman" w:hAnsi="Times New Roman" w:cs="Times New Roman"/>
          <w:i/>
          <w:sz w:val="22"/>
          <w:szCs w:val="22"/>
          <w:lang w:val="cs-CZ"/>
        </w:rPr>
      </w:pPr>
      <w:r w:rsidRPr="00412C4E">
        <w:rPr>
          <w:rStyle w:val="Znakapoznpodarou"/>
          <w:rFonts w:ascii="Times New Roman" w:hAnsi="Times New Roman" w:cs="Times New Roman"/>
          <w:i/>
          <w:sz w:val="22"/>
          <w:szCs w:val="22"/>
        </w:rPr>
        <w:footnoteRef/>
      </w:r>
      <w:r w:rsidRPr="00412C4E">
        <w:rPr>
          <w:rFonts w:ascii="Times New Roman" w:hAnsi="Times New Roman" w:cs="Times New Roman"/>
          <w:i/>
          <w:sz w:val="22"/>
          <w:szCs w:val="22"/>
          <w:lang w:val="pt-PT"/>
        </w:rPr>
        <w:t xml:space="preserve"> </w:t>
      </w:r>
      <w:hyperlink r:id="rId7" w:history="1">
        <w:r w:rsidRPr="00412C4E">
          <w:rPr>
            <w:rStyle w:val="Hypertextovodkaz"/>
            <w:rFonts w:ascii="Times New Roman" w:hAnsi="Times New Roman"/>
            <w:i/>
            <w:sz w:val="22"/>
            <w:szCs w:val="22"/>
            <w:lang w:val="pt-PT"/>
          </w:rPr>
          <w:t>Nebudte-obeti-2021.cdr (migrace.com)</w:t>
        </w:r>
      </w:hyperlink>
    </w:p>
  </w:footnote>
  <w:footnote w:id="9">
    <w:p w:rsidR="00441CAB" w:rsidRPr="00412C4E" w:rsidRDefault="00441CAB">
      <w:pPr>
        <w:pStyle w:val="Textpoznpodarou"/>
        <w:rPr>
          <w:rFonts w:ascii="Times New Roman" w:hAnsi="Times New Roman" w:cs="Times New Roman"/>
          <w:i/>
          <w:sz w:val="22"/>
          <w:szCs w:val="22"/>
          <w:lang w:val="cs-CZ"/>
        </w:rPr>
      </w:pPr>
      <w:r w:rsidRPr="00412C4E">
        <w:rPr>
          <w:rStyle w:val="Znakapoznpodarou"/>
          <w:rFonts w:ascii="Times New Roman" w:hAnsi="Times New Roman" w:cs="Times New Roman"/>
          <w:i/>
          <w:sz w:val="22"/>
          <w:szCs w:val="22"/>
        </w:rPr>
        <w:footnoteRef/>
      </w:r>
      <w:r w:rsidRPr="00412C4E">
        <w:rPr>
          <w:rFonts w:ascii="Times New Roman" w:hAnsi="Times New Roman" w:cs="Times New Roman"/>
          <w:i/>
          <w:sz w:val="22"/>
          <w:szCs w:val="22"/>
          <w:lang w:val="cs-CZ"/>
        </w:rPr>
        <w:t xml:space="preserve"> </w:t>
      </w:r>
      <w:hyperlink r:id="rId8" w:history="1">
        <w:r w:rsidRPr="00412C4E">
          <w:rPr>
            <w:rStyle w:val="Hypertextovodkaz"/>
            <w:rFonts w:ascii="Times New Roman" w:hAnsi="Times New Roman"/>
            <w:i/>
            <w:sz w:val="22"/>
            <w:szCs w:val="22"/>
            <w:lang w:val="cs-CZ"/>
          </w:rPr>
          <w:t>https://www.youtube.com/watch?v=fpE91OMau7Q</w:t>
        </w:r>
      </w:hyperlink>
      <w:r w:rsidRPr="00412C4E">
        <w:rPr>
          <w:rFonts w:ascii="Times New Roman" w:hAnsi="Times New Roman" w:cs="Times New Roman"/>
          <w:i/>
          <w:sz w:val="22"/>
          <w:szCs w:val="22"/>
          <w:lang w:val="cs-CZ"/>
        </w:rPr>
        <w:t xml:space="preserve"> </w:t>
      </w:r>
    </w:p>
  </w:footnote>
  <w:footnote w:id="10">
    <w:p w:rsidR="00441CAB" w:rsidRPr="00412C4E" w:rsidRDefault="00441CAB">
      <w:pPr>
        <w:pStyle w:val="Textpoznpodarou"/>
        <w:rPr>
          <w:lang w:val="cs-CZ"/>
        </w:rPr>
      </w:pPr>
      <w:r w:rsidRPr="00412C4E">
        <w:rPr>
          <w:rStyle w:val="Znakapoznpodarou"/>
          <w:rFonts w:ascii="Times New Roman" w:hAnsi="Times New Roman" w:cs="Times New Roman"/>
          <w:i/>
          <w:sz w:val="22"/>
          <w:szCs w:val="22"/>
        </w:rPr>
        <w:footnoteRef/>
      </w:r>
      <w:r w:rsidRPr="00412C4E">
        <w:rPr>
          <w:rFonts w:ascii="Times New Roman" w:hAnsi="Times New Roman" w:cs="Times New Roman"/>
          <w:i/>
          <w:sz w:val="22"/>
          <w:szCs w:val="22"/>
          <w:lang w:val="cs-CZ"/>
        </w:rPr>
        <w:t xml:space="preserve"> </w:t>
      </w:r>
      <w:hyperlink r:id="rId9" w:history="1">
        <w:r w:rsidRPr="00412C4E">
          <w:rPr>
            <w:rStyle w:val="Hypertextovodkaz"/>
            <w:rFonts w:ascii="Times New Roman" w:hAnsi="Times New Roman"/>
            <w:i/>
            <w:sz w:val="22"/>
            <w:szCs w:val="22"/>
            <w:lang w:val="cs-CZ"/>
          </w:rPr>
          <w:t>https://www.youtube.com/watch?v=bnofGB0drus</w:t>
        </w:r>
      </w:hyperlink>
      <w:r>
        <w:rPr>
          <w:lang w:val="cs-CZ"/>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CA4" w:rsidRDefault="00302CA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CA4" w:rsidRDefault="00302CA4">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CA4" w:rsidRDefault="00302CA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1244F"/>
    <w:multiLevelType w:val="multilevel"/>
    <w:tmpl w:val="600ACD56"/>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D92B77"/>
    <w:multiLevelType w:val="multilevel"/>
    <w:tmpl w:val="F762F868"/>
    <w:lvl w:ilvl="0">
      <w:start w:val="4"/>
      <w:numFmt w:val="decimal"/>
      <w:lvlText w:val="%1"/>
      <w:lvlJc w:val="left"/>
      <w:pPr>
        <w:ind w:left="360" w:hanging="360"/>
      </w:pPr>
      <w:rPr>
        <w:rFonts w:eastAsia="Times New Roman" w:hint="default"/>
        <w:b w:val="0"/>
      </w:rPr>
    </w:lvl>
    <w:lvl w:ilvl="1">
      <w:start w:val="5"/>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 w15:restartNumberingAfterBreak="0">
    <w:nsid w:val="13781E4D"/>
    <w:multiLevelType w:val="multilevel"/>
    <w:tmpl w:val="E7BCCF02"/>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3792C24"/>
    <w:multiLevelType w:val="hybridMultilevel"/>
    <w:tmpl w:val="26B0978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1A306911"/>
    <w:multiLevelType w:val="hybridMultilevel"/>
    <w:tmpl w:val="85C8AB74"/>
    <w:lvl w:ilvl="0" w:tplc="C8A86E3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5F3892"/>
    <w:multiLevelType w:val="hybridMultilevel"/>
    <w:tmpl w:val="EB246C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27B0E24"/>
    <w:multiLevelType w:val="hybridMultilevel"/>
    <w:tmpl w:val="0D8ACB70"/>
    <w:lvl w:ilvl="0" w:tplc="6C0A4A98">
      <w:start w:val="1"/>
      <w:numFmt w:val="upperRoman"/>
      <w:lvlText w:val="%1."/>
      <w:lvlJc w:val="left"/>
      <w:pPr>
        <w:ind w:left="1680" w:hanging="720"/>
      </w:pPr>
      <w:rPr>
        <w:rFonts w:hint="default"/>
        <w:b/>
        <w:color w:val="auto"/>
      </w:rPr>
    </w:lvl>
    <w:lvl w:ilvl="1" w:tplc="04050019" w:tentative="1">
      <w:start w:val="1"/>
      <w:numFmt w:val="lowerLetter"/>
      <w:lvlText w:val="%2."/>
      <w:lvlJc w:val="left"/>
      <w:pPr>
        <w:ind w:left="2040" w:hanging="360"/>
      </w:pPr>
    </w:lvl>
    <w:lvl w:ilvl="2" w:tplc="0405001B" w:tentative="1">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7" w15:restartNumberingAfterBreak="0">
    <w:nsid w:val="273726EB"/>
    <w:multiLevelType w:val="hybridMultilevel"/>
    <w:tmpl w:val="8FA66D28"/>
    <w:lvl w:ilvl="0" w:tplc="13B8B92E">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CCE11A1"/>
    <w:multiLevelType w:val="hybridMultilevel"/>
    <w:tmpl w:val="B2585590"/>
    <w:lvl w:ilvl="0" w:tplc="7774379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1C52BD"/>
    <w:multiLevelType w:val="hybridMultilevel"/>
    <w:tmpl w:val="AFF01D70"/>
    <w:lvl w:ilvl="0" w:tplc="777437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F2213A"/>
    <w:multiLevelType w:val="hybridMultilevel"/>
    <w:tmpl w:val="EDBA9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E643EEC"/>
    <w:multiLevelType w:val="hybridMultilevel"/>
    <w:tmpl w:val="9E4A26C0"/>
    <w:lvl w:ilvl="0" w:tplc="4F54C8EC">
      <w:start w:val="1"/>
      <w:numFmt w:val="upperRoman"/>
      <w:lvlText w:val="%1."/>
      <w:lvlJc w:val="left"/>
      <w:pPr>
        <w:ind w:left="2520" w:hanging="720"/>
      </w:pPr>
      <w:rPr>
        <w:rFonts w:hint="default"/>
        <w:b w:val="0"/>
        <w:u w:val="none"/>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2" w15:restartNumberingAfterBreak="0">
    <w:nsid w:val="449122CF"/>
    <w:multiLevelType w:val="hybridMultilevel"/>
    <w:tmpl w:val="B2585590"/>
    <w:lvl w:ilvl="0" w:tplc="7774379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1D308C"/>
    <w:multiLevelType w:val="hybridMultilevel"/>
    <w:tmpl w:val="F4AE6E34"/>
    <w:lvl w:ilvl="0" w:tplc="5E5ECC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1E651D"/>
    <w:multiLevelType w:val="hybridMultilevel"/>
    <w:tmpl w:val="B8DE9A4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D6D17C8"/>
    <w:multiLevelType w:val="hybridMultilevel"/>
    <w:tmpl w:val="E1A4D176"/>
    <w:lvl w:ilvl="0" w:tplc="C23ADA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9C6064"/>
    <w:multiLevelType w:val="hybridMultilevel"/>
    <w:tmpl w:val="F62EEBF6"/>
    <w:lvl w:ilvl="0" w:tplc="777437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E322FD"/>
    <w:multiLevelType w:val="hybridMultilevel"/>
    <w:tmpl w:val="02D2730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0381459"/>
    <w:multiLevelType w:val="hybridMultilevel"/>
    <w:tmpl w:val="B64AB39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619B46CC"/>
    <w:multiLevelType w:val="hybridMultilevel"/>
    <w:tmpl w:val="3E30316E"/>
    <w:lvl w:ilvl="0" w:tplc="ED1007D8">
      <w:numFmt w:val="bullet"/>
      <w:lvlText w:val="-"/>
      <w:lvlJc w:val="left"/>
      <w:pPr>
        <w:ind w:left="720" w:hanging="360"/>
      </w:pPr>
      <w:rPr>
        <w:rFonts w:ascii="Calibri" w:eastAsiaTheme="minorHAnsi" w:hAnsi="Calibri" w:cs="Calibri" w:hint="default"/>
      </w:rPr>
    </w:lvl>
    <w:lvl w:ilvl="1" w:tplc="0405000F">
      <w:start w:val="1"/>
      <w:numFmt w:val="decimal"/>
      <w:lvlText w:val="%2."/>
      <w:lvlJc w:val="left"/>
      <w:pPr>
        <w:ind w:left="786" w:hanging="360"/>
      </w:pPr>
      <w:rPr>
        <w:rFonts w:hint="default"/>
      </w:rPr>
    </w:lvl>
    <w:lvl w:ilvl="2" w:tplc="A378D3AC">
      <w:start w:val="1"/>
      <w:numFmt w:val="upperRoman"/>
      <w:lvlText w:val="%3."/>
      <w:lvlJc w:val="left"/>
      <w:pPr>
        <w:ind w:left="2520" w:hanging="720"/>
      </w:pPr>
      <w:rPr>
        <w:rFont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25E7DE6"/>
    <w:multiLevelType w:val="multilevel"/>
    <w:tmpl w:val="263A0004"/>
    <w:lvl w:ilvl="0">
      <w:start w:val="1"/>
      <w:numFmt w:val="decimal"/>
      <w:lvlText w:val="%1."/>
      <w:lvlJc w:val="left"/>
      <w:pPr>
        <w:ind w:left="720" w:hanging="360"/>
      </w:pPr>
      <w:rPr>
        <w:b/>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74625B4"/>
    <w:multiLevelType w:val="hybridMultilevel"/>
    <w:tmpl w:val="45F088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8571DBD"/>
    <w:multiLevelType w:val="hybridMultilevel"/>
    <w:tmpl w:val="0814688C"/>
    <w:lvl w:ilvl="0" w:tplc="04090013">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343B00"/>
    <w:multiLevelType w:val="hybridMultilevel"/>
    <w:tmpl w:val="DDE09D56"/>
    <w:lvl w:ilvl="0" w:tplc="1A102E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A22DCF"/>
    <w:multiLevelType w:val="hybridMultilevel"/>
    <w:tmpl w:val="F4AE6E34"/>
    <w:lvl w:ilvl="0" w:tplc="5E5ECC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194859"/>
    <w:multiLevelType w:val="hybridMultilevel"/>
    <w:tmpl w:val="F4AE6E34"/>
    <w:lvl w:ilvl="0" w:tplc="5E5ECC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BF5EBC"/>
    <w:multiLevelType w:val="hybridMultilevel"/>
    <w:tmpl w:val="F6F605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5E63A08"/>
    <w:multiLevelType w:val="hybridMultilevel"/>
    <w:tmpl w:val="24A2A2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9"/>
  </w:num>
  <w:num w:numId="4">
    <w:abstractNumId w:val="8"/>
  </w:num>
  <w:num w:numId="5">
    <w:abstractNumId w:val="23"/>
  </w:num>
  <w:num w:numId="6">
    <w:abstractNumId w:val="2"/>
  </w:num>
  <w:num w:numId="7">
    <w:abstractNumId w:val="19"/>
  </w:num>
  <w:num w:numId="8">
    <w:abstractNumId w:val="1"/>
  </w:num>
  <w:num w:numId="9">
    <w:abstractNumId w:val="22"/>
  </w:num>
  <w:num w:numId="10">
    <w:abstractNumId w:val="20"/>
  </w:num>
  <w:num w:numId="11">
    <w:abstractNumId w:val="15"/>
  </w:num>
  <w:num w:numId="12">
    <w:abstractNumId w:val="13"/>
  </w:num>
  <w:num w:numId="13">
    <w:abstractNumId w:val="26"/>
  </w:num>
  <w:num w:numId="14">
    <w:abstractNumId w:val="25"/>
  </w:num>
  <w:num w:numId="15">
    <w:abstractNumId w:val="7"/>
  </w:num>
  <w:num w:numId="16">
    <w:abstractNumId w:val="27"/>
  </w:num>
  <w:num w:numId="17">
    <w:abstractNumId w:val="12"/>
  </w:num>
  <w:num w:numId="18">
    <w:abstractNumId w:val="14"/>
  </w:num>
  <w:num w:numId="19">
    <w:abstractNumId w:val="18"/>
  </w:num>
  <w:num w:numId="20">
    <w:abstractNumId w:val="17"/>
  </w:num>
  <w:num w:numId="21">
    <w:abstractNumId w:val="3"/>
  </w:num>
  <w:num w:numId="22">
    <w:abstractNumId w:val="21"/>
  </w:num>
  <w:num w:numId="23">
    <w:abstractNumId w:val="6"/>
  </w:num>
  <w:num w:numId="24">
    <w:abstractNumId w:val="24"/>
  </w:num>
  <w:num w:numId="25">
    <w:abstractNumId w:val="11"/>
  </w:num>
  <w:num w:numId="26">
    <w:abstractNumId w:val="4"/>
  </w:num>
  <w:num w:numId="27">
    <w:abstractNumId w:val="5"/>
  </w:num>
  <w:num w:numId="28">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CF3"/>
    <w:rsid w:val="000053BB"/>
    <w:rsid w:val="00012CBD"/>
    <w:rsid w:val="00016904"/>
    <w:rsid w:val="00016F1D"/>
    <w:rsid w:val="00017D27"/>
    <w:rsid w:val="00040832"/>
    <w:rsid w:val="00047ED7"/>
    <w:rsid w:val="00052DFE"/>
    <w:rsid w:val="00070923"/>
    <w:rsid w:val="000860AE"/>
    <w:rsid w:val="000901DC"/>
    <w:rsid w:val="00092DF1"/>
    <w:rsid w:val="000A65A8"/>
    <w:rsid w:val="000C08BB"/>
    <w:rsid w:val="000C1D31"/>
    <w:rsid w:val="000C4297"/>
    <w:rsid w:val="000D44ED"/>
    <w:rsid w:val="000D4766"/>
    <w:rsid w:val="000F6E27"/>
    <w:rsid w:val="00115A5B"/>
    <w:rsid w:val="0011719C"/>
    <w:rsid w:val="0012339F"/>
    <w:rsid w:val="00123D17"/>
    <w:rsid w:val="0012548F"/>
    <w:rsid w:val="00130EA3"/>
    <w:rsid w:val="00131DEF"/>
    <w:rsid w:val="001329BC"/>
    <w:rsid w:val="00140D99"/>
    <w:rsid w:val="00147CA9"/>
    <w:rsid w:val="00151C26"/>
    <w:rsid w:val="00155BA9"/>
    <w:rsid w:val="0015742D"/>
    <w:rsid w:val="0016285D"/>
    <w:rsid w:val="0016711F"/>
    <w:rsid w:val="00170078"/>
    <w:rsid w:val="001731D0"/>
    <w:rsid w:val="001753E8"/>
    <w:rsid w:val="00180CFB"/>
    <w:rsid w:val="00182FAA"/>
    <w:rsid w:val="00183E13"/>
    <w:rsid w:val="001842C0"/>
    <w:rsid w:val="00184DB7"/>
    <w:rsid w:val="00184F25"/>
    <w:rsid w:val="001A5C0A"/>
    <w:rsid w:val="001C6D53"/>
    <w:rsid w:val="001C726E"/>
    <w:rsid w:val="002001C5"/>
    <w:rsid w:val="00206B0F"/>
    <w:rsid w:val="00210485"/>
    <w:rsid w:val="002136EC"/>
    <w:rsid w:val="00224AC6"/>
    <w:rsid w:val="00225C05"/>
    <w:rsid w:val="00232E36"/>
    <w:rsid w:val="002424A5"/>
    <w:rsid w:val="00244DC7"/>
    <w:rsid w:val="00250B0B"/>
    <w:rsid w:val="00252EF6"/>
    <w:rsid w:val="00257618"/>
    <w:rsid w:val="002610BC"/>
    <w:rsid w:val="00266BB8"/>
    <w:rsid w:val="00273952"/>
    <w:rsid w:val="002833FD"/>
    <w:rsid w:val="00285DD3"/>
    <w:rsid w:val="0029626D"/>
    <w:rsid w:val="002A7ACA"/>
    <w:rsid w:val="002B192B"/>
    <w:rsid w:val="002B1DA6"/>
    <w:rsid w:val="002C1998"/>
    <w:rsid w:val="002E1B6B"/>
    <w:rsid w:val="002F7AB4"/>
    <w:rsid w:val="00302CA4"/>
    <w:rsid w:val="00304B10"/>
    <w:rsid w:val="0030537D"/>
    <w:rsid w:val="003071D0"/>
    <w:rsid w:val="00316B7D"/>
    <w:rsid w:val="00327664"/>
    <w:rsid w:val="00330ED7"/>
    <w:rsid w:val="00331DE5"/>
    <w:rsid w:val="00333B1C"/>
    <w:rsid w:val="00333DFD"/>
    <w:rsid w:val="003341F6"/>
    <w:rsid w:val="00334CA2"/>
    <w:rsid w:val="00336F59"/>
    <w:rsid w:val="00345AF6"/>
    <w:rsid w:val="00350D6C"/>
    <w:rsid w:val="0035236C"/>
    <w:rsid w:val="003600C0"/>
    <w:rsid w:val="003616F7"/>
    <w:rsid w:val="0036367E"/>
    <w:rsid w:val="00365865"/>
    <w:rsid w:val="00370796"/>
    <w:rsid w:val="00372BF4"/>
    <w:rsid w:val="003746AC"/>
    <w:rsid w:val="0038337B"/>
    <w:rsid w:val="003862E1"/>
    <w:rsid w:val="003A1790"/>
    <w:rsid w:val="003A6CF5"/>
    <w:rsid w:val="003A7732"/>
    <w:rsid w:val="003B2FE7"/>
    <w:rsid w:val="003C620E"/>
    <w:rsid w:val="003D34ED"/>
    <w:rsid w:val="003D3F12"/>
    <w:rsid w:val="003F3E6E"/>
    <w:rsid w:val="00405D52"/>
    <w:rsid w:val="00405F3F"/>
    <w:rsid w:val="00412C4E"/>
    <w:rsid w:val="004173FA"/>
    <w:rsid w:val="00420FA6"/>
    <w:rsid w:val="0042267B"/>
    <w:rsid w:val="00431ACB"/>
    <w:rsid w:val="00436545"/>
    <w:rsid w:val="0044160F"/>
    <w:rsid w:val="00441CAB"/>
    <w:rsid w:val="00446AF2"/>
    <w:rsid w:val="004474CA"/>
    <w:rsid w:val="004557D6"/>
    <w:rsid w:val="004621AB"/>
    <w:rsid w:val="00462A1D"/>
    <w:rsid w:val="00471A15"/>
    <w:rsid w:val="004812F3"/>
    <w:rsid w:val="00482191"/>
    <w:rsid w:val="00485320"/>
    <w:rsid w:val="00494552"/>
    <w:rsid w:val="00494C4F"/>
    <w:rsid w:val="004A0867"/>
    <w:rsid w:val="004A36A8"/>
    <w:rsid w:val="004A53A2"/>
    <w:rsid w:val="004A79EC"/>
    <w:rsid w:val="004B24A5"/>
    <w:rsid w:val="004B2DA6"/>
    <w:rsid w:val="004B3AF0"/>
    <w:rsid w:val="004B5E31"/>
    <w:rsid w:val="004C29AA"/>
    <w:rsid w:val="004E0DF0"/>
    <w:rsid w:val="004E458C"/>
    <w:rsid w:val="004F2E4C"/>
    <w:rsid w:val="004F4B76"/>
    <w:rsid w:val="004F6C87"/>
    <w:rsid w:val="00501C0A"/>
    <w:rsid w:val="005172BC"/>
    <w:rsid w:val="005344CC"/>
    <w:rsid w:val="00541FE7"/>
    <w:rsid w:val="00546887"/>
    <w:rsid w:val="00546DD8"/>
    <w:rsid w:val="005574F4"/>
    <w:rsid w:val="0056199F"/>
    <w:rsid w:val="00566AF7"/>
    <w:rsid w:val="0059724A"/>
    <w:rsid w:val="005B5084"/>
    <w:rsid w:val="005C26A5"/>
    <w:rsid w:val="005C2738"/>
    <w:rsid w:val="005C40F8"/>
    <w:rsid w:val="005D0EA4"/>
    <w:rsid w:val="005D7B07"/>
    <w:rsid w:val="005D7F0D"/>
    <w:rsid w:val="005E2B0C"/>
    <w:rsid w:val="005E6869"/>
    <w:rsid w:val="005F5B61"/>
    <w:rsid w:val="006017F7"/>
    <w:rsid w:val="00602217"/>
    <w:rsid w:val="0060661B"/>
    <w:rsid w:val="006068F2"/>
    <w:rsid w:val="00633067"/>
    <w:rsid w:val="00634F12"/>
    <w:rsid w:val="00640F1D"/>
    <w:rsid w:val="00641D15"/>
    <w:rsid w:val="00643C42"/>
    <w:rsid w:val="00654EF8"/>
    <w:rsid w:val="00665F96"/>
    <w:rsid w:val="00666F6A"/>
    <w:rsid w:val="006754FD"/>
    <w:rsid w:val="0069214A"/>
    <w:rsid w:val="006923C8"/>
    <w:rsid w:val="00695F14"/>
    <w:rsid w:val="00696410"/>
    <w:rsid w:val="006A56A2"/>
    <w:rsid w:val="006A6B3B"/>
    <w:rsid w:val="006B0720"/>
    <w:rsid w:val="006B77F3"/>
    <w:rsid w:val="006C3042"/>
    <w:rsid w:val="006C4678"/>
    <w:rsid w:val="006D1356"/>
    <w:rsid w:val="006E149C"/>
    <w:rsid w:val="006E3045"/>
    <w:rsid w:val="006E33F7"/>
    <w:rsid w:val="006F53CC"/>
    <w:rsid w:val="00700A08"/>
    <w:rsid w:val="00706D8A"/>
    <w:rsid w:val="00742A15"/>
    <w:rsid w:val="007538AA"/>
    <w:rsid w:val="00754418"/>
    <w:rsid w:val="0076244F"/>
    <w:rsid w:val="00783C96"/>
    <w:rsid w:val="00786F97"/>
    <w:rsid w:val="00792213"/>
    <w:rsid w:val="00795311"/>
    <w:rsid w:val="007A73E1"/>
    <w:rsid w:val="007A7FA6"/>
    <w:rsid w:val="007B1CDF"/>
    <w:rsid w:val="007C6880"/>
    <w:rsid w:val="007D0180"/>
    <w:rsid w:val="007D3C4C"/>
    <w:rsid w:val="007E7B0F"/>
    <w:rsid w:val="007F12ED"/>
    <w:rsid w:val="007F77DD"/>
    <w:rsid w:val="00806259"/>
    <w:rsid w:val="00810DE9"/>
    <w:rsid w:val="00815085"/>
    <w:rsid w:val="008277C2"/>
    <w:rsid w:val="00863D0D"/>
    <w:rsid w:val="008644C1"/>
    <w:rsid w:val="008655A6"/>
    <w:rsid w:val="00874DD1"/>
    <w:rsid w:val="0087625A"/>
    <w:rsid w:val="00880F4B"/>
    <w:rsid w:val="00883FA9"/>
    <w:rsid w:val="00894163"/>
    <w:rsid w:val="00895C52"/>
    <w:rsid w:val="008965A7"/>
    <w:rsid w:val="008B0D5F"/>
    <w:rsid w:val="008B1284"/>
    <w:rsid w:val="008C0B97"/>
    <w:rsid w:val="008C4238"/>
    <w:rsid w:val="008D0D5F"/>
    <w:rsid w:val="008D1615"/>
    <w:rsid w:val="008D5F91"/>
    <w:rsid w:val="008D6EEA"/>
    <w:rsid w:val="008E22EC"/>
    <w:rsid w:val="008E25F4"/>
    <w:rsid w:val="008E5769"/>
    <w:rsid w:val="00902CB2"/>
    <w:rsid w:val="009253CD"/>
    <w:rsid w:val="0092658F"/>
    <w:rsid w:val="00933678"/>
    <w:rsid w:val="0093531B"/>
    <w:rsid w:val="00936723"/>
    <w:rsid w:val="00941A01"/>
    <w:rsid w:val="00942248"/>
    <w:rsid w:val="00951A95"/>
    <w:rsid w:val="009527DE"/>
    <w:rsid w:val="0095329F"/>
    <w:rsid w:val="00962A38"/>
    <w:rsid w:val="0096547F"/>
    <w:rsid w:val="009726C8"/>
    <w:rsid w:val="00972B84"/>
    <w:rsid w:val="00973672"/>
    <w:rsid w:val="009746C6"/>
    <w:rsid w:val="00994493"/>
    <w:rsid w:val="009A5EBA"/>
    <w:rsid w:val="009B27BC"/>
    <w:rsid w:val="009B5873"/>
    <w:rsid w:val="009B6309"/>
    <w:rsid w:val="009C7831"/>
    <w:rsid w:val="009D28E5"/>
    <w:rsid w:val="009E3008"/>
    <w:rsid w:val="009E705F"/>
    <w:rsid w:val="00A03CF3"/>
    <w:rsid w:val="00A1114D"/>
    <w:rsid w:val="00A126BD"/>
    <w:rsid w:val="00A12BD9"/>
    <w:rsid w:val="00A2093D"/>
    <w:rsid w:val="00A20E85"/>
    <w:rsid w:val="00A32F03"/>
    <w:rsid w:val="00A40937"/>
    <w:rsid w:val="00A62F64"/>
    <w:rsid w:val="00A677B3"/>
    <w:rsid w:val="00A917CE"/>
    <w:rsid w:val="00A94942"/>
    <w:rsid w:val="00AA1C5B"/>
    <w:rsid w:val="00AB3522"/>
    <w:rsid w:val="00AB4AA4"/>
    <w:rsid w:val="00AC23C6"/>
    <w:rsid w:val="00AC34ED"/>
    <w:rsid w:val="00AD4775"/>
    <w:rsid w:val="00AE3523"/>
    <w:rsid w:val="00AE6587"/>
    <w:rsid w:val="00AF4257"/>
    <w:rsid w:val="00AF4C63"/>
    <w:rsid w:val="00AF6E5A"/>
    <w:rsid w:val="00B0597F"/>
    <w:rsid w:val="00B074C3"/>
    <w:rsid w:val="00B1640C"/>
    <w:rsid w:val="00B20DCC"/>
    <w:rsid w:val="00B373A5"/>
    <w:rsid w:val="00B3746D"/>
    <w:rsid w:val="00B41875"/>
    <w:rsid w:val="00B42ADD"/>
    <w:rsid w:val="00B70C9A"/>
    <w:rsid w:val="00B71F3A"/>
    <w:rsid w:val="00B75FEF"/>
    <w:rsid w:val="00B83C40"/>
    <w:rsid w:val="00B961BD"/>
    <w:rsid w:val="00BC582C"/>
    <w:rsid w:val="00BC774E"/>
    <w:rsid w:val="00BE7B5C"/>
    <w:rsid w:val="00C127F6"/>
    <w:rsid w:val="00C14348"/>
    <w:rsid w:val="00C2423E"/>
    <w:rsid w:val="00C303AD"/>
    <w:rsid w:val="00C30418"/>
    <w:rsid w:val="00C30EAB"/>
    <w:rsid w:val="00C33C3F"/>
    <w:rsid w:val="00C449BB"/>
    <w:rsid w:val="00C545A6"/>
    <w:rsid w:val="00C56A44"/>
    <w:rsid w:val="00C6079D"/>
    <w:rsid w:val="00C64CF1"/>
    <w:rsid w:val="00C8127E"/>
    <w:rsid w:val="00C8348B"/>
    <w:rsid w:val="00C916FA"/>
    <w:rsid w:val="00C92440"/>
    <w:rsid w:val="00C96782"/>
    <w:rsid w:val="00C96878"/>
    <w:rsid w:val="00CB76B0"/>
    <w:rsid w:val="00CC6447"/>
    <w:rsid w:val="00CF45A8"/>
    <w:rsid w:val="00CF5B13"/>
    <w:rsid w:val="00D0567C"/>
    <w:rsid w:val="00D2074F"/>
    <w:rsid w:val="00D21068"/>
    <w:rsid w:val="00D23034"/>
    <w:rsid w:val="00D30624"/>
    <w:rsid w:val="00D3673A"/>
    <w:rsid w:val="00D41B51"/>
    <w:rsid w:val="00D44D98"/>
    <w:rsid w:val="00D51777"/>
    <w:rsid w:val="00D632D0"/>
    <w:rsid w:val="00D720AA"/>
    <w:rsid w:val="00D7391E"/>
    <w:rsid w:val="00D77D6B"/>
    <w:rsid w:val="00D863C4"/>
    <w:rsid w:val="00D872B3"/>
    <w:rsid w:val="00D95F33"/>
    <w:rsid w:val="00DA4C21"/>
    <w:rsid w:val="00DA566A"/>
    <w:rsid w:val="00DA6997"/>
    <w:rsid w:val="00DB236B"/>
    <w:rsid w:val="00DB4032"/>
    <w:rsid w:val="00DB6AF1"/>
    <w:rsid w:val="00DB7215"/>
    <w:rsid w:val="00DC386D"/>
    <w:rsid w:val="00DC7FAC"/>
    <w:rsid w:val="00DD0BA3"/>
    <w:rsid w:val="00DD1FFA"/>
    <w:rsid w:val="00DD36B5"/>
    <w:rsid w:val="00DE076D"/>
    <w:rsid w:val="00DE15DC"/>
    <w:rsid w:val="00DE1EA3"/>
    <w:rsid w:val="00DF13CD"/>
    <w:rsid w:val="00DF520F"/>
    <w:rsid w:val="00E06607"/>
    <w:rsid w:val="00E1647F"/>
    <w:rsid w:val="00E42C68"/>
    <w:rsid w:val="00E46258"/>
    <w:rsid w:val="00E56202"/>
    <w:rsid w:val="00E5677A"/>
    <w:rsid w:val="00E81D32"/>
    <w:rsid w:val="00E87C24"/>
    <w:rsid w:val="00EA3D76"/>
    <w:rsid w:val="00EA5F6F"/>
    <w:rsid w:val="00EA6A25"/>
    <w:rsid w:val="00EA7687"/>
    <w:rsid w:val="00EC345A"/>
    <w:rsid w:val="00EE0300"/>
    <w:rsid w:val="00EE53CE"/>
    <w:rsid w:val="00EF353A"/>
    <w:rsid w:val="00EF44A3"/>
    <w:rsid w:val="00F0732D"/>
    <w:rsid w:val="00F148DC"/>
    <w:rsid w:val="00F236BC"/>
    <w:rsid w:val="00F2511B"/>
    <w:rsid w:val="00F34662"/>
    <w:rsid w:val="00F362B2"/>
    <w:rsid w:val="00F37745"/>
    <w:rsid w:val="00F46DCA"/>
    <w:rsid w:val="00F538C7"/>
    <w:rsid w:val="00F55779"/>
    <w:rsid w:val="00F57188"/>
    <w:rsid w:val="00F6570C"/>
    <w:rsid w:val="00F729A9"/>
    <w:rsid w:val="00F73CAC"/>
    <w:rsid w:val="00F90A00"/>
    <w:rsid w:val="00FB65FC"/>
    <w:rsid w:val="00FD2277"/>
    <w:rsid w:val="00FD7613"/>
    <w:rsid w:val="00FE3471"/>
    <w:rsid w:val="00FF1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BAF584F1-9985-4F71-BCC9-D137DE1EF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068F2"/>
  </w:style>
  <w:style w:type="paragraph" w:styleId="Nadpis1">
    <w:name w:val="heading 1"/>
    <w:basedOn w:val="Normln"/>
    <w:next w:val="Normln"/>
    <w:link w:val="Nadpis1Char"/>
    <w:uiPriority w:val="9"/>
    <w:qFormat/>
    <w:rsid w:val="00B20DCC"/>
    <w:pPr>
      <w:keepNext/>
      <w:keepLines/>
      <w:spacing w:before="240" w:after="0"/>
      <w:outlineLvl w:val="0"/>
    </w:pPr>
    <w:rPr>
      <w:rFonts w:ascii="Times New Roman" w:eastAsiaTheme="majorEastAsia" w:hAnsi="Times New Roman" w:cstheme="majorBidi"/>
      <w:b/>
      <w:sz w:val="32"/>
      <w:szCs w:val="3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06259"/>
    <w:pPr>
      <w:ind w:left="720"/>
      <w:contextualSpacing/>
    </w:pPr>
  </w:style>
  <w:style w:type="table" w:styleId="Mkatabulky">
    <w:name w:val="Table Grid"/>
    <w:basedOn w:val="Normlntabulka"/>
    <w:uiPriority w:val="39"/>
    <w:rsid w:val="00806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unhideWhenUsed/>
    <w:qFormat/>
    <w:rsid w:val="00DD1FFA"/>
    <w:pPr>
      <w:spacing w:after="0" w:line="240" w:lineRule="auto"/>
    </w:pPr>
    <w:rPr>
      <w:sz w:val="20"/>
      <w:szCs w:val="20"/>
    </w:rPr>
  </w:style>
  <w:style w:type="character" w:customStyle="1" w:styleId="TextpoznpodarouChar">
    <w:name w:val="Text pozn. pod čarou Char"/>
    <w:basedOn w:val="Standardnpsmoodstavce"/>
    <w:link w:val="Textpoznpodarou"/>
    <w:uiPriority w:val="99"/>
    <w:qFormat/>
    <w:rsid w:val="00DD1FFA"/>
    <w:rPr>
      <w:sz w:val="20"/>
      <w:szCs w:val="20"/>
    </w:rPr>
  </w:style>
  <w:style w:type="character" w:styleId="Znakapoznpodarou">
    <w:name w:val="footnote reference"/>
    <w:aliases w:val="BVI fnr,Footnote symbol,Voetnootverwijzing,Times 10 Point,Exposant 3 Point,Footnote reference number,Ref,de nota al pie,note TESI,SUPERS,EN Footnote Reference,Footnote sign,Footnote Reference Superscript,stylish,fr,FR"/>
    <w:basedOn w:val="Standardnpsmoodstavce"/>
    <w:link w:val="FootnoteReferneceChar"/>
    <w:uiPriority w:val="99"/>
    <w:unhideWhenUsed/>
    <w:qFormat/>
    <w:rsid w:val="00DD1FFA"/>
    <w:rPr>
      <w:vertAlign w:val="superscript"/>
    </w:rPr>
  </w:style>
  <w:style w:type="table" w:customStyle="1" w:styleId="Mkatabulky1">
    <w:name w:val="Mřížka tabulky1"/>
    <w:basedOn w:val="Normlntabulka"/>
    <w:next w:val="Mkatabulky"/>
    <w:uiPriority w:val="39"/>
    <w:rsid w:val="00485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rsid w:val="0011719C"/>
    <w:rPr>
      <w:rFonts w:cs="Times New Roman"/>
      <w:color w:val="0000FF"/>
      <w:u w:val="single"/>
    </w:rPr>
  </w:style>
  <w:style w:type="paragraph" w:customStyle="1" w:styleId="FootnoteReferneceChar">
    <w:name w:val="Footnote Refernece Char"/>
    <w:basedOn w:val="Normln"/>
    <w:link w:val="Znakapoznpodarou"/>
    <w:uiPriority w:val="99"/>
    <w:rsid w:val="0011719C"/>
    <w:pPr>
      <w:suppressAutoHyphens/>
      <w:spacing w:line="240" w:lineRule="exact"/>
    </w:pPr>
    <w:rPr>
      <w:vertAlign w:val="superscript"/>
    </w:rPr>
  </w:style>
  <w:style w:type="character" w:customStyle="1" w:styleId="Nadpis1Char">
    <w:name w:val="Nadpis 1 Char"/>
    <w:basedOn w:val="Standardnpsmoodstavce"/>
    <w:link w:val="Nadpis1"/>
    <w:uiPriority w:val="9"/>
    <w:rsid w:val="00B20DCC"/>
    <w:rPr>
      <w:rFonts w:ascii="Times New Roman" w:eastAsiaTheme="majorEastAsia" w:hAnsi="Times New Roman" w:cstheme="majorBidi"/>
      <w:b/>
      <w:sz w:val="32"/>
      <w:szCs w:val="32"/>
      <w:u w:val="single"/>
    </w:rPr>
  </w:style>
  <w:style w:type="paragraph" w:styleId="Nadpisobsahu">
    <w:name w:val="TOC Heading"/>
    <w:basedOn w:val="Nadpis1"/>
    <w:next w:val="Normln"/>
    <w:uiPriority w:val="39"/>
    <w:unhideWhenUsed/>
    <w:qFormat/>
    <w:rsid w:val="00B20DCC"/>
    <w:pPr>
      <w:outlineLvl w:val="9"/>
    </w:pPr>
    <w:rPr>
      <w:rFonts w:asciiTheme="majorHAnsi" w:hAnsiTheme="majorHAnsi"/>
      <w:b w:val="0"/>
      <w:color w:val="2E74B5" w:themeColor="accent1" w:themeShade="BF"/>
      <w:u w:val="none"/>
    </w:rPr>
  </w:style>
  <w:style w:type="paragraph" w:styleId="Obsah1">
    <w:name w:val="toc 1"/>
    <w:basedOn w:val="Normln"/>
    <w:next w:val="Normln"/>
    <w:autoRedefine/>
    <w:uiPriority w:val="39"/>
    <w:unhideWhenUsed/>
    <w:rsid w:val="00D23034"/>
    <w:pPr>
      <w:tabs>
        <w:tab w:val="left" w:pos="440"/>
        <w:tab w:val="right" w:leader="dot" w:pos="9396"/>
      </w:tabs>
      <w:spacing w:after="100"/>
    </w:pPr>
  </w:style>
  <w:style w:type="paragraph" w:styleId="Textbubliny">
    <w:name w:val="Balloon Text"/>
    <w:basedOn w:val="Normln"/>
    <w:link w:val="TextbublinyChar"/>
    <w:uiPriority w:val="99"/>
    <w:semiHidden/>
    <w:unhideWhenUsed/>
    <w:rsid w:val="00C6079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079D"/>
    <w:rPr>
      <w:rFonts w:ascii="Segoe UI" w:hAnsi="Segoe UI" w:cs="Segoe UI"/>
      <w:sz w:val="18"/>
      <w:szCs w:val="18"/>
    </w:rPr>
  </w:style>
  <w:style w:type="paragraph" w:styleId="Revize">
    <w:name w:val="Revision"/>
    <w:hidden/>
    <w:uiPriority w:val="99"/>
    <w:semiHidden/>
    <w:rsid w:val="00A32F03"/>
    <w:pPr>
      <w:spacing w:after="0" w:line="240" w:lineRule="auto"/>
    </w:pPr>
  </w:style>
  <w:style w:type="paragraph" w:styleId="Zhlav">
    <w:name w:val="header"/>
    <w:basedOn w:val="Normln"/>
    <w:link w:val="ZhlavChar"/>
    <w:uiPriority w:val="99"/>
    <w:unhideWhenUsed/>
    <w:rsid w:val="00634F1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34F12"/>
  </w:style>
  <w:style w:type="paragraph" w:styleId="Zpat">
    <w:name w:val="footer"/>
    <w:basedOn w:val="Normln"/>
    <w:link w:val="ZpatChar"/>
    <w:uiPriority w:val="99"/>
    <w:unhideWhenUsed/>
    <w:rsid w:val="00634F12"/>
    <w:pPr>
      <w:tabs>
        <w:tab w:val="center" w:pos="4536"/>
        <w:tab w:val="right" w:pos="9072"/>
      </w:tabs>
      <w:spacing w:after="0" w:line="240" w:lineRule="auto"/>
    </w:pPr>
  </w:style>
  <w:style w:type="character" w:customStyle="1" w:styleId="ZpatChar">
    <w:name w:val="Zápatí Char"/>
    <w:basedOn w:val="Standardnpsmoodstavce"/>
    <w:link w:val="Zpat"/>
    <w:uiPriority w:val="99"/>
    <w:rsid w:val="00634F12"/>
  </w:style>
  <w:style w:type="paragraph" w:customStyle="1" w:styleId="Nzevlnku">
    <w:name w:val="Název článku"/>
    <w:basedOn w:val="Normln"/>
    <w:next w:val="Normln"/>
    <w:rsid w:val="008B1284"/>
    <w:pPr>
      <w:keepNext/>
      <w:spacing w:after="120" w:line="240" w:lineRule="auto"/>
      <w:jc w:val="center"/>
    </w:pPr>
    <w:rPr>
      <w:rFonts w:ascii="Arial" w:eastAsia="Times New Roman" w:hAnsi="Arial" w:cs="Times New Roman"/>
      <w:b/>
      <w:szCs w:val="24"/>
      <w:lang w:val="cs-CZ" w:eastAsia="cs-CZ"/>
    </w:rPr>
  </w:style>
  <w:style w:type="character" w:styleId="Odkaznakoment">
    <w:name w:val="annotation reference"/>
    <w:basedOn w:val="Standardnpsmoodstavce"/>
    <w:uiPriority w:val="99"/>
    <w:semiHidden/>
    <w:unhideWhenUsed/>
    <w:rsid w:val="00047ED7"/>
    <w:rPr>
      <w:sz w:val="16"/>
      <w:szCs w:val="16"/>
    </w:rPr>
  </w:style>
  <w:style w:type="paragraph" w:styleId="Textkomente">
    <w:name w:val="annotation text"/>
    <w:basedOn w:val="Normln"/>
    <w:link w:val="TextkomenteChar"/>
    <w:uiPriority w:val="99"/>
    <w:semiHidden/>
    <w:unhideWhenUsed/>
    <w:rsid w:val="00047ED7"/>
    <w:pPr>
      <w:spacing w:line="240" w:lineRule="auto"/>
    </w:pPr>
    <w:rPr>
      <w:sz w:val="20"/>
      <w:szCs w:val="20"/>
    </w:rPr>
  </w:style>
  <w:style w:type="character" w:customStyle="1" w:styleId="TextkomenteChar">
    <w:name w:val="Text komentáře Char"/>
    <w:basedOn w:val="Standardnpsmoodstavce"/>
    <w:link w:val="Textkomente"/>
    <w:uiPriority w:val="99"/>
    <w:semiHidden/>
    <w:rsid w:val="00047ED7"/>
    <w:rPr>
      <w:sz w:val="20"/>
      <w:szCs w:val="20"/>
    </w:rPr>
  </w:style>
  <w:style w:type="paragraph" w:styleId="Pedmtkomente">
    <w:name w:val="annotation subject"/>
    <w:basedOn w:val="Textkomente"/>
    <w:next w:val="Textkomente"/>
    <w:link w:val="PedmtkomenteChar"/>
    <w:uiPriority w:val="99"/>
    <w:semiHidden/>
    <w:unhideWhenUsed/>
    <w:rsid w:val="00047ED7"/>
    <w:rPr>
      <w:b/>
      <w:bCs/>
    </w:rPr>
  </w:style>
  <w:style w:type="character" w:customStyle="1" w:styleId="PedmtkomenteChar">
    <w:name w:val="Předmět komentáře Char"/>
    <w:basedOn w:val="TextkomenteChar"/>
    <w:link w:val="Pedmtkomente"/>
    <w:uiPriority w:val="99"/>
    <w:semiHidden/>
    <w:rsid w:val="00047E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619334">
      <w:bodyDiv w:val="1"/>
      <w:marLeft w:val="0"/>
      <w:marRight w:val="0"/>
      <w:marTop w:val="0"/>
      <w:marBottom w:val="0"/>
      <w:divBdr>
        <w:top w:val="none" w:sz="0" w:space="0" w:color="auto"/>
        <w:left w:val="none" w:sz="0" w:space="0" w:color="auto"/>
        <w:bottom w:val="none" w:sz="0" w:space="0" w:color="auto"/>
        <w:right w:val="none" w:sz="0" w:space="0" w:color="auto"/>
      </w:divBdr>
    </w:div>
    <w:div w:id="676542367">
      <w:bodyDiv w:val="1"/>
      <w:marLeft w:val="0"/>
      <w:marRight w:val="0"/>
      <w:marTop w:val="0"/>
      <w:marBottom w:val="0"/>
      <w:divBdr>
        <w:top w:val="none" w:sz="0" w:space="0" w:color="auto"/>
        <w:left w:val="none" w:sz="0" w:space="0" w:color="auto"/>
        <w:bottom w:val="none" w:sz="0" w:space="0" w:color="auto"/>
        <w:right w:val="none" w:sz="0" w:space="0" w:color="auto"/>
      </w:divBdr>
    </w:div>
    <w:div w:id="873932444">
      <w:bodyDiv w:val="1"/>
      <w:marLeft w:val="0"/>
      <w:marRight w:val="0"/>
      <w:marTop w:val="0"/>
      <w:marBottom w:val="0"/>
      <w:divBdr>
        <w:top w:val="none" w:sz="0" w:space="0" w:color="auto"/>
        <w:left w:val="none" w:sz="0" w:space="0" w:color="auto"/>
        <w:bottom w:val="none" w:sz="0" w:space="0" w:color="auto"/>
        <w:right w:val="none" w:sz="0" w:space="0" w:color="auto"/>
      </w:divBdr>
    </w:div>
    <w:div w:id="1015763722">
      <w:bodyDiv w:val="1"/>
      <w:marLeft w:val="0"/>
      <w:marRight w:val="0"/>
      <w:marTop w:val="0"/>
      <w:marBottom w:val="0"/>
      <w:divBdr>
        <w:top w:val="none" w:sz="0" w:space="0" w:color="auto"/>
        <w:left w:val="none" w:sz="0" w:space="0" w:color="auto"/>
        <w:bottom w:val="none" w:sz="0" w:space="0" w:color="auto"/>
        <w:right w:val="none" w:sz="0" w:space="0" w:color="auto"/>
      </w:divBdr>
    </w:div>
    <w:div w:id="126048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yperlink" Target="https://sway.office.com/N19nGE0OXP7mdlDA"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image" Target="media/image1.jp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hyperlink" Target="https://www.mzv.cz/jnp/en/foreign_relations/women_peace_and_security/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hyperlink" Target="https://www.mzv.cz/jnp/cz/zahranicni_vztahy/agenda_zeny_mir_a_bezpecnost/index.html"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eader" Target="head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youtube.com/watch?v=fpE91OMau7Q" TargetMode="External"/><Relationship Id="rId3" Type="http://schemas.openxmlformats.org/officeDocument/2006/relationships/hyperlink" Target="https://www.facebook.com/events/471571791687338" TargetMode="External"/><Relationship Id="rId7" Type="http://schemas.openxmlformats.org/officeDocument/2006/relationships/hyperlink" Target="https://www.migrace.com/adm/_upload/docs/nebudte-obeti-2020_cz_1613055257.pdf" TargetMode="External"/><Relationship Id="rId2" Type="http://schemas.openxmlformats.org/officeDocument/2006/relationships/hyperlink" Target="https://acr.army.cz/informacni-servis/zpravodajstvi/osn-chce-stale-vice-zen-v-mirovych-misich-236706/" TargetMode="External"/><Relationship Id="rId1" Type="http://schemas.openxmlformats.org/officeDocument/2006/relationships/hyperlink" Target="http://1325naps.peacewomen.org" TargetMode="External"/><Relationship Id="rId6" Type="http://schemas.openxmlformats.org/officeDocument/2006/relationships/hyperlink" Target="https://www.migrace.com/adm/_upload/docs/linkypomoci_nove_cj_1678717372.pdf" TargetMode="External"/><Relationship Id="rId5" Type="http://schemas.openxmlformats.org/officeDocument/2006/relationships/hyperlink" Target="https://www.youtube.com/watch?v=SpZjtUW0phY&amp;t=3769s" TargetMode="External"/><Relationship Id="rId4" Type="http://schemas.openxmlformats.org/officeDocument/2006/relationships/hyperlink" Target="https://www.howgatepublishing.com/product-page/WPS" TargetMode="External"/><Relationship Id="rId9" Type="http://schemas.openxmlformats.org/officeDocument/2006/relationships/hyperlink" Target="https://www.youtube.com/watch?v=bnofGB0drus"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services.mocr\101_Users\Users4\JonitovaB\Dokumenty\rovnost\Anal&#253;zy\2023\Studuj&#237;c&#237;%20vojensk&#253;ch%20&#353;kol%20-%20v&#253;voj.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services.mocr\101_Users\Users4\JonitovaB\Dokumenty\rovnost\Anal&#253;zy\2023\&#250;sp&#283;&#353;nost%20p&#345;ijet&#237;%20ke%20studiu-%20v&#253;se&#269;ov&#233;%20grafy.xlsx" TargetMode="External"/></Relationships>
</file>

<file path=word/charts/_rels/chart3.xml.rels><?xml version="1.0" encoding="UTF-8" standalone="yes"?>
<Relationships xmlns="http://schemas.openxmlformats.org/package/2006/relationships"><Relationship Id="rId2" Type="http://schemas.openxmlformats.org/officeDocument/2006/relationships/oleObject" Target="file:///\\services.mocr\101_Users\Users4\JonitovaB\Dokumenty\rovnost\Anal&#253;zy\2023\&#250;sp&#283;&#353;nost%20p&#345;ijet&#237;%20ke%20studiu-%20v&#253;se&#269;ov&#233;%20grafy.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services.mocr\101_Users\Users4\JonitovaB\dokumenty\rovnost\Anal&#253;zy\2023\Kopie%20-%20n&#225;bor%20-%20grafy.xls"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services.mocr\101_Users\Users4\JonitovaB\dokumenty\rovnost\Anal&#253;zy\2023\Kopie%20-%20n&#225;bor%20-%20grafy.xls"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services.mocr\101_Users\Users4\JonitovaB\dokumenty\rovnost\Anal&#253;zy\2023\N&#225;bor%20-%20v&#253;voj%20po&#269;t&#367;%20z&#225;jemc&#367;%20a%20uchaze&#269;&#367;%20o%20slu&#382;bu%20%20-%20vybran&#233;%20roky.xls"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services.mocr\101_Users\Users4\JonitovaB\dokumenty\rovnost\Anal&#253;zy\2023\N&#225;bor%20-%20v&#253;voj%20po&#269;t&#367;%20z&#225;jemc&#367;%20a%20uchaze&#269;&#367;%20o%20slu&#382;bu%20%20-%20vybran&#233;%20roky.xls"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services.mocr\101_Users\Users4\JonitovaB\dokumenty\rovnost\Anal&#253;zy\2023\V&#253;voj%20po&#269;&#367;%20voj&#225;ky&#328;%20od%201999%20d&#225;le.xls"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services.mocr\101_Users\Users4\JonitovaB\dokumenty\rovnost\Anal&#253;zy\2023\V&#253;voj%20po&#269;&#367;%20voj&#225;ky&#328;%20od%201999%20d&#225;le.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r>
              <a:rPr lang="cs-CZ" sz="1100" b="1"/>
              <a:t>Studenti a studentky ve školních/akademických letech</a:t>
            </a:r>
          </a:p>
          <a:p>
            <a:pPr>
              <a:defRPr sz="1100" b="1" i="0" u="none" strike="noStrike" kern="1200" spc="0" baseline="0">
                <a:solidFill>
                  <a:schemeClr val="tx1">
                    <a:lumMod val="65000"/>
                    <a:lumOff val="35000"/>
                  </a:schemeClr>
                </a:solidFill>
                <a:latin typeface="+mn-lt"/>
                <a:ea typeface="+mn-ea"/>
                <a:cs typeface="+mn-cs"/>
              </a:defRPr>
            </a:pPr>
            <a:r>
              <a:rPr lang="cs-CZ" sz="1100" b="1"/>
              <a:t>  a  podíl žen/studentek na celkovém počtu studujících</a:t>
            </a:r>
          </a:p>
        </c:rich>
      </c:tx>
      <c:layout/>
      <c:overlay val="0"/>
      <c:spPr>
        <a:noFill/>
        <a:ln w="25400">
          <a:noFill/>
        </a:ln>
      </c:spPr>
    </c:title>
    <c:autoTitleDeleted val="0"/>
    <c:plotArea>
      <c:layout>
        <c:manualLayout>
          <c:layoutTarget val="inner"/>
          <c:xMode val="edge"/>
          <c:yMode val="edge"/>
          <c:x val="3.9136482939632546E-2"/>
          <c:y val="0.19064814814814818"/>
          <c:w val="0.87753018372703417"/>
          <c:h val="0.61874930535963135"/>
        </c:manualLayout>
      </c:layout>
      <c:barChart>
        <c:barDir val="col"/>
        <c:grouping val="clustered"/>
        <c:varyColors val="0"/>
        <c:ser>
          <c:idx val="0"/>
          <c:order val="0"/>
          <c:spPr>
            <a:solidFill>
              <a:srgbClr val="4F81BD"/>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multiLvlStrRef>
              <c:f>'připraveno pro 2004'!$H$10:$J$11</c:f>
              <c:multiLvlStrCache>
                <c:ptCount val="3"/>
                <c:lvl>
                  <c:pt idx="0">
                    <c:v>24%žen</c:v>
                  </c:pt>
                  <c:pt idx="1">
                    <c:v>24%žen</c:v>
                  </c:pt>
                  <c:pt idx="2">
                    <c:v>24%žen</c:v>
                  </c:pt>
                </c:lvl>
                <c:lvl>
                  <c:pt idx="0">
                    <c:v>2020/2021</c:v>
                  </c:pt>
                  <c:pt idx="1">
                    <c:v>2021/2022</c:v>
                  </c:pt>
                  <c:pt idx="2">
                    <c:v>2022/2023</c:v>
                  </c:pt>
                </c:lvl>
              </c:multiLvlStrCache>
            </c:multiLvlStrRef>
          </c:cat>
          <c:val>
            <c:numRef>
              <c:f>'připraveno pro 2004'!$H$12:$J$12</c:f>
              <c:numCache>
                <c:formatCode>General</c:formatCode>
                <c:ptCount val="3"/>
                <c:pt idx="0">
                  <c:v>1469</c:v>
                </c:pt>
                <c:pt idx="1">
                  <c:v>1694</c:v>
                </c:pt>
                <c:pt idx="2">
                  <c:v>1773</c:v>
                </c:pt>
              </c:numCache>
            </c:numRef>
          </c:val>
          <c:extLst xmlns:c16r2="http://schemas.microsoft.com/office/drawing/2015/06/chart">
            <c:ext xmlns:c16="http://schemas.microsoft.com/office/drawing/2014/chart" uri="{C3380CC4-5D6E-409C-BE32-E72D297353CC}">
              <c16:uniqueId val="{00000000-F919-473A-B3D8-E4746B393D8A}"/>
            </c:ext>
          </c:extLst>
        </c:ser>
        <c:ser>
          <c:idx val="1"/>
          <c:order val="1"/>
          <c:spPr>
            <a:solidFill>
              <a:srgbClr val="C0504D"/>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multiLvlStrRef>
              <c:f>'připraveno pro 2004'!$H$10:$J$11</c:f>
              <c:multiLvlStrCache>
                <c:ptCount val="3"/>
                <c:lvl>
                  <c:pt idx="0">
                    <c:v>24%žen</c:v>
                  </c:pt>
                  <c:pt idx="1">
                    <c:v>24%žen</c:v>
                  </c:pt>
                  <c:pt idx="2">
                    <c:v>24%žen</c:v>
                  </c:pt>
                </c:lvl>
                <c:lvl>
                  <c:pt idx="0">
                    <c:v>2020/2021</c:v>
                  </c:pt>
                  <c:pt idx="1">
                    <c:v>2021/2022</c:v>
                  </c:pt>
                  <c:pt idx="2">
                    <c:v>2022/2023</c:v>
                  </c:pt>
                </c:lvl>
              </c:multiLvlStrCache>
            </c:multiLvlStrRef>
          </c:cat>
          <c:val>
            <c:numRef>
              <c:f>'připraveno pro 2004'!$H$13:$J$13</c:f>
              <c:numCache>
                <c:formatCode>General</c:formatCode>
                <c:ptCount val="3"/>
                <c:pt idx="0">
                  <c:v>476</c:v>
                </c:pt>
                <c:pt idx="1">
                  <c:v>532</c:v>
                </c:pt>
                <c:pt idx="2">
                  <c:v>559</c:v>
                </c:pt>
              </c:numCache>
            </c:numRef>
          </c:val>
          <c:extLst xmlns:c16r2="http://schemas.microsoft.com/office/drawing/2015/06/chart">
            <c:ext xmlns:c16="http://schemas.microsoft.com/office/drawing/2014/chart" uri="{C3380CC4-5D6E-409C-BE32-E72D297353CC}">
              <c16:uniqueId val="{00000001-F919-473A-B3D8-E4746B393D8A}"/>
            </c:ext>
          </c:extLst>
        </c:ser>
        <c:dLbls>
          <c:showLegendKey val="0"/>
          <c:showVal val="0"/>
          <c:showCatName val="0"/>
          <c:showSerName val="0"/>
          <c:showPercent val="0"/>
          <c:showBubbleSize val="0"/>
        </c:dLbls>
        <c:gapWidth val="219"/>
        <c:overlap val="-27"/>
        <c:axId val="334598304"/>
        <c:axId val="334598696"/>
      </c:barChart>
      <c:catAx>
        <c:axId val="33459830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cs-CZ"/>
          </a:p>
        </c:txPr>
        <c:crossAx val="334598696"/>
        <c:crosses val="autoZero"/>
        <c:auto val="1"/>
        <c:lblAlgn val="ctr"/>
        <c:lblOffset val="100"/>
        <c:noMultiLvlLbl val="0"/>
      </c:catAx>
      <c:valAx>
        <c:axId val="334598696"/>
        <c:scaling>
          <c:orientation val="minMax"/>
        </c:scaling>
        <c:delete val="1"/>
        <c:axPos val="l"/>
        <c:numFmt formatCode="General" sourceLinked="1"/>
        <c:majorTickMark val="out"/>
        <c:minorTickMark val="none"/>
        <c:tickLblPos val="nextTo"/>
        <c:crossAx val="334598304"/>
        <c:crosses val="autoZero"/>
        <c:crossBetween val="between"/>
      </c:valAx>
      <c:spPr>
        <a:solidFill>
          <a:schemeClr val="accent1">
            <a:lumMod val="20000"/>
            <a:lumOff val="80000"/>
          </a:schemeClr>
        </a:solid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1" i="0" u="none" strike="noStrike" kern="1200" spc="0" normalizeH="0" baseline="0">
                <a:solidFill>
                  <a:schemeClr val="dk1">
                    <a:lumMod val="50000"/>
                    <a:lumOff val="50000"/>
                  </a:schemeClr>
                </a:solidFill>
                <a:latin typeface="+mj-lt"/>
                <a:ea typeface="+mj-ea"/>
                <a:cs typeface="+mj-cs"/>
              </a:defRPr>
            </a:pPr>
            <a:r>
              <a:rPr lang="cs-CZ" sz="900" b="1"/>
              <a:t>Z uchazečů/uchazeček bylo přijato ke studiu</a:t>
            </a:r>
          </a:p>
          <a:p>
            <a:pPr>
              <a:defRPr sz="900"/>
            </a:pPr>
            <a:r>
              <a:rPr lang="cs-CZ" sz="900" b="1"/>
              <a:t> v akademickém roce 2022/2023 </a:t>
            </a:r>
          </a:p>
          <a:p>
            <a:pPr>
              <a:defRPr sz="900"/>
            </a:pPr>
            <a:r>
              <a:rPr lang="cs-CZ" sz="900" b="1"/>
              <a:t>(Univerzita obrany - úspěšnost)</a:t>
            </a:r>
          </a:p>
        </c:rich>
      </c:tx>
      <c:layout>
        <c:manualLayout>
          <c:xMode val="edge"/>
          <c:yMode val="edge"/>
          <c:x val="0.35954884294433959"/>
          <c:y val="4.0404040404040407E-2"/>
        </c:manualLayout>
      </c:layout>
      <c:overlay val="0"/>
      <c:spPr>
        <a:noFill/>
        <a:ln>
          <a:noFill/>
        </a:ln>
        <a:effectLst/>
      </c:spPr>
      <c:txPr>
        <a:bodyPr rot="0" spcFirstLastPara="1" vertOverflow="ellipsis" vert="horz" wrap="square" anchor="ctr" anchorCtr="1"/>
        <a:lstStyle/>
        <a:p>
          <a:pPr>
            <a:defRPr sz="900" b="1" i="0" u="none" strike="noStrike" kern="1200" spc="0" normalizeH="0" baseline="0">
              <a:solidFill>
                <a:schemeClr val="dk1">
                  <a:lumMod val="50000"/>
                  <a:lumOff val="50000"/>
                </a:schemeClr>
              </a:solidFill>
              <a:latin typeface="+mj-lt"/>
              <a:ea typeface="+mj-ea"/>
              <a:cs typeface="+mj-cs"/>
            </a:defRPr>
          </a:pPr>
          <a:endParaRPr lang="cs-CZ"/>
        </a:p>
      </c:txPr>
    </c:title>
    <c:autoTitleDeleted val="0"/>
    <c:plotArea>
      <c:layout>
        <c:manualLayout>
          <c:layoutTarget val="inner"/>
          <c:xMode val="edge"/>
          <c:yMode val="edge"/>
          <c:x val="0.1985934879159213"/>
          <c:y val="0.24136642010657755"/>
          <c:w val="0.43445425213568051"/>
          <c:h val="0.72821335500322248"/>
        </c:manualLayout>
      </c:layout>
      <c:pieChart>
        <c:varyColors val="1"/>
        <c:ser>
          <c:idx val="0"/>
          <c:order val="0"/>
          <c:dPt>
            <c:idx val="0"/>
            <c:bubble3D val="0"/>
            <c:spPr>
              <a:gradFill>
                <a:gsLst>
                  <a:gs pos="100000">
                    <a:schemeClr val="accent6">
                      <a:shade val="76000"/>
                      <a:lumMod val="60000"/>
                      <a:lumOff val="40000"/>
                    </a:schemeClr>
                  </a:gs>
                  <a:gs pos="0">
                    <a:schemeClr val="accent6">
                      <a:shade val="76000"/>
                    </a:schemeClr>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1-5F38-46C0-8BEB-14B04E0C94D0}"/>
              </c:ext>
            </c:extLst>
          </c:dPt>
          <c:dPt>
            <c:idx val="1"/>
            <c:bubble3D val="0"/>
            <c:spPr>
              <a:gradFill>
                <a:gsLst>
                  <a:gs pos="100000">
                    <a:schemeClr val="accent6">
                      <a:tint val="77000"/>
                      <a:lumMod val="60000"/>
                      <a:lumOff val="40000"/>
                    </a:schemeClr>
                  </a:gs>
                  <a:gs pos="0">
                    <a:schemeClr val="accent6">
                      <a:tint val="77000"/>
                    </a:schemeClr>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3-5F38-46C0-8BEB-14B04E0C94D0}"/>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dk1">
                        <a:lumMod val="75000"/>
                        <a:lumOff val="25000"/>
                      </a:schemeClr>
                    </a:solidFill>
                    <a:latin typeface="+mn-lt"/>
                    <a:ea typeface="+mn-ea"/>
                    <a:cs typeface="+mn-cs"/>
                  </a:defRPr>
                </a:pPr>
                <a:endParaRPr lang="cs-CZ"/>
              </a:p>
            </c:txPr>
            <c:dLblPos val="ctr"/>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List1!$C$30:$C$31</c:f>
              <c:strCache>
                <c:ptCount val="2"/>
                <c:pt idx="0">
                  <c:v>muži</c:v>
                </c:pt>
                <c:pt idx="1">
                  <c:v>ženy</c:v>
                </c:pt>
              </c:strCache>
            </c:strRef>
          </c:cat>
          <c:val>
            <c:numRef>
              <c:f>List1!$D$30:$D$31</c:f>
              <c:numCache>
                <c:formatCode>0%</c:formatCode>
                <c:ptCount val="2"/>
                <c:pt idx="0">
                  <c:v>0.35</c:v>
                </c:pt>
                <c:pt idx="1">
                  <c:v>0.24</c:v>
                </c:pt>
              </c:numCache>
            </c:numRef>
          </c:val>
          <c:extLst xmlns:c16r2="http://schemas.microsoft.com/office/drawing/2015/06/chart">
            <c:ext xmlns:c16="http://schemas.microsoft.com/office/drawing/2014/chart" uri="{C3380CC4-5D6E-409C-BE32-E72D297353CC}">
              <c16:uniqueId val="{00000004-5F38-46C0-8BEB-14B04E0C94D0}"/>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806931078059687"/>
          <c:y val="0.67436809035234235"/>
          <c:w val="0.1735757445523988"/>
          <c:h val="0.17045573848723455"/>
        </c:manualLayout>
      </c:layout>
      <c:overlay val="0"/>
      <c:spPr>
        <a:solidFill>
          <a:schemeClr val="lt1">
            <a:alpha val="50000"/>
          </a:schemeClr>
        </a:solidFill>
        <a:ln>
          <a:noFill/>
        </a:ln>
        <a:effectLst/>
      </c:spPr>
      <c:txPr>
        <a:bodyPr rot="0" spcFirstLastPara="1" vertOverflow="ellipsis" vert="horz" wrap="square" anchor="ctr" anchorCtr="1"/>
        <a:lstStyle/>
        <a:p>
          <a:pPr>
            <a:defRPr sz="1000" b="0" i="0" u="none" strike="noStrike" kern="1200" baseline="0">
              <a:solidFill>
                <a:schemeClr val="dk1">
                  <a:lumMod val="65000"/>
                  <a:lumOff val="35000"/>
                </a:schemeClr>
              </a:solidFill>
              <a:latin typeface="+mn-lt"/>
              <a:ea typeface="+mn-ea"/>
              <a:cs typeface="+mn-cs"/>
            </a:defRPr>
          </a:pPr>
          <a:endParaRPr lang="cs-CZ"/>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cs-CZ"/>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00"/>
                </a:solidFill>
                <a:latin typeface="+mn-lt"/>
                <a:ea typeface="Arial CE"/>
                <a:cs typeface="Arial" panose="020B0604020202020204" pitchFamily="34" charset="0"/>
              </a:defRPr>
            </a:pPr>
            <a:r>
              <a:rPr lang="cs-CZ" sz="1100" b="0">
                <a:latin typeface="+mn-lt"/>
                <a:cs typeface="Arial" panose="020B0604020202020204" pitchFamily="34" charset="0"/>
              </a:rPr>
              <a:t>Z uchazečů/uchazeček bylo přijato k dennímu  studiu ve školním roce 2022/2023  (úspěšnost)</a:t>
            </a:r>
          </a:p>
          <a:p>
            <a:pPr>
              <a:defRPr sz="1000" b="1" i="0" u="none" strike="noStrike" baseline="0">
                <a:solidFill>
                  <a:srgbClr val="000000"/>
                </a:solidFill>
                <a:latin typeface="+mn-lt"/>
                <a:ea typeface="Arial CE"/>
                <a:cs typeface="Arial" panose="020B0604020202020204" pitchFamily="34" charset="0"/>
              </a:defRPr>
            </a:pPr>
            <a:endParaRPr lang="cs-CZ" sz="1100" b="0">
              <a:latin typeface="+mn-lt"/>
              <a:cs typeface="Arial" panose="020B0604020202020204" pitchFamily="34" charset="0"/>
            </a:endParaRPr>
          </a:p>
        </c:rich>
      </c:tx>
      <c:layout>
        <c:manualLayout>
          <c:xMode val="edge"/>
          <c:yMode val="edge"/>
          <c:x val="9.4067796610169493E-2"/>
          <c:y val="1.8016922813826736E-2"/>
        </c:manualLayout>
      </c:layout>
      <c:overlay val="0"/>
      <c:spPr>
        <a:noFill/>
        <a:ln w="25400">
          <a:noFill/>
        </a:ln>
      </c:spPr>
    </c:title>
    <c:autoTitleDeleted val="0"/>
    <c:plotArea>
      <c:layout>
        <c:manualLayout>
          <c:layoutTarget val="inner"/>
          <c:xMode val="edge"/>
          <c:yMode val="edge"/>
          <c:x val="7.2648916766760094E-2"/>
          <c:y val="0.29021175823277046"/>
          <c:w val="0.47297255215979356"/>
          <c:h val="0.63241655699553134"/>
        </c:manualLayout>
      </c:layout>
      <c:pieChart>
        <c:varyColors val="1"/>
        <c:ser>
          <c:idx val="0"/>
          <c:order val="0"/>
          <c:spPr>
            <a:solidFill>
              <a:schemeClr val="accent6">
                <a:lumMod val="20000"/>
                <a:lumOff val="80000"/>
              </a:schemeClr>
            </a:solidFill>
            <a:ln w="12700">
              <a:solidFill>
                <a:srgbClr val="000000"/>
              </a:solidFill>
              <a:prstDash val="solid"/>
            </a:ln>
          </c:spPr>
          <c:dPt>
            <c:idx val="0"/>
            <c:bubble3D val="0"/>
            <c:explosion val="4"/>
            <c:spPr>
              <a:solidFill>
                <a:schemeClr val="accent3">
                  <a:lumMod val="60000"/>
                  <a:lumOff val="40000"/>
                </a:schemeClr>
              </a:solidFill>
              <a:ln w="12700">
                <a:noFill/>
                <a:prstDash val="solid"/>
              </a:ln>
            </c:spPr>
            <c:extLst xmlns:c16r2="http://schemas.microsoft.com/office/drawing/2015/06/chart">
              <c:ext xmlns:c16="http://schemas.microsoft.com/office/drawing/2014/chart" uri="{C3380CC4-5D6E-409C-BE32-E72D297353CC}">
                <c16:uniqueId val="{00000001-5CB2-4370-A596-1F1B2FBD1793}"/>
              </c:ext>
            </c:extLst>
          </c:dPt>
          <c:dPt>
            <c:idx val="1"/>
            <c:bubble3D val="0"/>
            <c:spPr>
              <a:solidFill>
                <a:schemeClr val="accent6">
                  <a:lumMod val="20000"/>
                  <a:lumOff val="80000"/>
                </a:schemeClr>
              </a:solidFill>
              <a:ln w="12700">
                <a:solidFill>
                  <a:schemeClr val="accent6">
                    <a:lumMod val="40000"/>
                    <a:lumOff val="60000"/>
                  </a:schemeClr>
                </a:solidFill>
                <a:prstDash val="solid"/>
              </a:ln>
            </c:spPr>
            <c:extLst xmlns:c16r2="http://schemas.microsoft.com/office/drawing/2015/06/chart">
              <c:ext xmlns:c16="http://schemas.microsoft.com/office/drawing/2014/chart" uri="{C3380CC4-5D6E-409C-BE32-E72D297353CC}">
                <c16:uniqueId val="{00000003-5CB2-4370-A596-1F1B2FBD1793}"/>
              </c:ext>
            </c:extLst>
          </c:dPt>
          <c:dLbls>
            <c:dLbl>
              <c:idx val="0"/>
              <c:layout>
                <c:manualLayout>
                  <c:x val="-0.19318377708083101"/>
                  <c:y val="2.7936207387566289E-3"/>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5CB2-4370-A596-1F1B2FBD1793}"/>
                </c:ext>
                <c:ext xmlns:c15="http://schemas.microsoft.com/office/drawing/2012/chart" uri="{CE6537A1-D6FC-4f65-9D91-7224C49458BB}">
                  <c15:layout/>
                </c:ext>
              </c:extLst>
            </c:dLbl>
            <c:dLbl>
              <c:idx val="1"/>
              <c:layout>
                <c:manualLayout>
                  <c:x val="0.16696349633927338"/>
                  <c:y val="1.5560845591975422E-2"/>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5CB2-4370-A596-1F1B2FBD1793}"/>
                </c:ext>
                <c:ext xmlns:c15="http://schemas.microsoft.com/office/drawing/2012/chart" uri="{CE6537A1-D6FC-4f65-9D91-7224C49458BB}">
                  <c15:layout/>
                </c:ext>
              </c:extLst>
            </c:dLbl>
            <c:spPr>
              <a:noFill/>
              <a:ln>
                <a:noFill/>
              </a:ln>
              <a:effectLst/>
            </c:spPr>
            <c:txPr>
              <a:bodyPr wrap="square" lIns="38100" tIns="19050" rIns="38100" bIns="19050" anchor="ctr">
                <a:spAutoFit/>
              </a:bodyPr>
              <a:lstStyle/>
              <a:p>
                <a:pPr>
                  <a:defRPr sz="1050" b="1"/>
                </a:pPr>
                <a:endParaRPr lang="cs-CZ"/>
              </a:p>
            </c:txPr>
            <c:dLblPos val="bestFit"/>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List1!$D$58:$D$59</c:f>
              <c:strCache>
                <c:ptCount val="2"/>
                <c:pt idx="0">
                  <c:v>muži</c:v>
                </c:pt>
                <c:pt idx="1">
                  <c:v>ženy</c:v>
                </c:pt>
              </c:strCache>
            </c:strRef>
          </c:cat>
          <c:val>
            <c:numRef>
              <c:f>List1!$E$58:$E$59</c:f>
              <c:numCache>
                <c:formatCode>0%</c:formatCode>
                <c:ptCount val="2"/>
                <c:pt idx="0">
                  <c:v>0.39</c:v>
                </c:pt>
                <c:pt idx="1">
                  <c:v>0.34</c:v>
                </c:pt>
              </c:numCache>
            </c:numRef>
          </c:val>
          <c:extLst xmlns:c16r2="http://schemas.microsoft.com/office/drawing/2015/06/chart">
            <c:ext xmlns:c16="http://schemas.microsoft.com/office/drawing/2014/chart" uri="{C3380CC4-5D6E-409C-BE32-E72D297353CC}">
              <c16:uniqueId val="{00000004-5CB2-4370-A596-1F1B2FBD1793}"/>
            </c:ext>
          </c:extLst>
        </c:ser>
        <c:dLbls>
          <c:dLblPos val="bestFit"/>
          <c:showLegendKey val="0"/>
          <c:showVal val="1"/>
          <c:showCatName val="0"/>
          <c:showSerName val="0"/>
          <c:showPercent val="0"/>
          <c:showBubbleSize val="0"/>
          <c:showLeaderLines val="1"/>
        </c:dLbls>
        <c:firstSliceAng val="0"/>
      </c:pieChart>
      <c:spPr>
        <a:solidFill>
          <a:schemeClr val="lt1"/>
        </a:solidFill>
        <a:ln w="25400" cap="flat" cmpd="sng" algn="ctr">
          <a:noFill/>
          <a:prstDash val="solid"/>
        </a:ln>
        <a:effectLst/>
      </c:spPr>
    </c:plotArea>
    <c:legend>
      <c:legendPos val="r"/>
      <c:layout>
        <c:manualLayout>
          <c:xMode val="edge"/>
          <c:yMode val="edge"/>
          <c:x val="0.72976083233239908"/>
          <c:y val="0.56274973418690943"/>
          <c:w val="0.1832671604608746"/>
          <c:h val="0.15225996892031557"/>
        </c:manualLayout>
      </c:layout>
      <c:overlay val="0"/>
      <c:spPr>
        <a:solidFill>
          <a:srgbClr val="FFFFFF"/>
        </a:solidFill>
        <a:ln w="3175">
          <a:solidFill>
            <a:srgbClr val="000000"/>
          </a:solidFill>
          <a:prstDash val="solid"/>
        </a:ln>
      </c:spPr>
      <c:txPr>
        <a:bodyPr/>
        <a:lstStyle/>
        <a:p>
          <a:pPr>
            <a:defRPr sz="900" b="0" i="0" u="none" strike="noStrike" baseline="0">
              <a:solidFill>
                <a:srgbClr val="000000"/>
              </a:solidFill>
              <a:latin typeface="Arial CE"/>
              <a:ea typeface="Arial CE"/>
              <a:cs typeface="Arial CE"/>
            </a:defRPr>
          </a:pPr>
          <a:endParaRPr lang="cs-CZ"/>
        </a:p>
      </c:txPr>
    </c:legend>
    <c:plotVisOnly val="1"/>
    <c:dispBlanksAs val="zero"/>
    <c:showDLblsOverMax val="0"/>
  </c:chart>
  <c:spPr>
    <a:solidFill>
      <a:schemeClr val="accent3">
        <a:lumMod val="20000"/>
        <a:lumOff val="80000"/>
      </a:schemeClr>
    </a:solidFill>
    <a:ln w="3175">
      <a:solidFill>
        <a:srgbClr val="000000"/>
      </a:solidFill>
      <a:prstDash val="solid"/>
    </a:ln>
  </c:spPr>
  <c:txPr>
    <a:bodyPr/>
    <a:lstStyle/>
    <a:p>
      <a:pPr>
        <a:defRPr sz="800" b="0" i="0" u="none" strike="noStrike" baseline="0">
          <a:solidFill>
            <a:srgbClr val="000000"/>
          </a:solidFill>
          <a:latin typeface="Arial CE"/>
          <a:ea typeface="Arial CE"/>
          <a:cs typeface="Arial CE"/>
        </a:defRPr>
      </a:pPr>
      <a:endParaRPr lang="cs-CZ"/>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sz="1000"/>
            </a:pPr>
            <a:r>
              <a:rPr lang="cs-CZ" sz="1000"/>
              <a:t>Poměr přijatých žen ve vztahu k počtu uchazeček, poměr přijatých mužů ve vztahu k počtu uchazečů </a:t>
            </a:r>
          </a:p>
          <a:p>
            <a:pPr>
              <a:defRPr sz="1000"/>
            </a:pPr>
            <a:r>
              <a:rPr lang="cs-CZ" sz="1000"/>
              <a:t>rok 2022</a:t>
            </a:r>
            <a:endParaRPr lang="en-US" sz="1000"/>
          </a:p>
        </c:rich>
      </c:tx>
      <c:layout/>
      <c:overlay val="0"/>
      <c:spPr>
        <a:noFill/>
        <a:ln w="25400">
          <a:noFill/>
        </a:ln>
      </c:spPr>
    </c:title>
    <c:autoTitleDeleted val="0"/>
    <c:plotArea>
      <c:layout>
        <c:manualLayout>
          <c:layoutTarget val="inner"/>
          <c:xMode val="edge"/>
          <c:yMode val="edge"/>
          <c:x val="0.2408066318442868"/>
          <c:y val="0.24460338291046949"/>
          <c:w val="0.47878303578389336"/>
          <c:h val="0.67162620297462816"/>
        </c:manualLayout>
      </c:layout>
      <c:pieChart>
        <c:varyColors val="1"/>
        <c:ser>
          <c:idx val="0"/>
          <c:order val="0"/>
          <c:tx>
            <c:strRef>
              <c:f>List1!$D$63</c:f>
              <c:strCache>
                <c:ptCount val="1"/>
                <c:pt idx="0">
                  <c:v>přijatých</c:v>
                </c:pt>
              </c:strCache>
            </c:strRef>
          </c:tx>
          <c:dPt>
            <c:idx val="0"/>
            <c:bubble3D val="0"/>
            <c:explosion val="2"/>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C03D-45F4-A837-4342B4E733B6}"/>
              </c:ext>
            </c:extLst>
          </c:dPt>
          <c:dPt>
            <c:idx val="1"/>
            <c:bubble3D val="0"/>
            <c:spPr>
              <a:solidFill>
                <a:schemeClr val="accent6">
                  <a:lumMod val="75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3-C03D-45F4-A837-4342B4E733B6}"/>
              </c:ext>
            </c:extLst>
          </c:dPt>
          <c:dLbls>
            <c:dLbl>
              <c:idx val="0"/>
              <c:layout>
                <c:manualLayout>
                  <c:x val="-0.14533068267456667"/>
                  <c:y val="2.2575823855351413E-3"/>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C03D-45F4-A837-4342B4E733B6}"/>
                </c:ext>
                <c:ext xmlns:c15="http://schemas.microsoft.com/office/drawing/2012/chart" uri="{CE6537A1-D6FC-4f65-9D91-7224C49458BB}">
                  <c15:layout/>
                </c:ext>
              </c:extLst>
            </c:dLbl>
            <c:dLbl>
              <c:idx val="1"/>
              <c:layout>
                <c:manualLayout>
                  <c:x val="0.16990667140479171"/>
                  <c:y val="2.46279118670997E-2"/>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C03D-45F4-A837-4342B4E733B6}"/>
                </c:ext>
                <c:ext xmlns:c15="http://schemas.microsoft.com/office/drawing/2012/chart" uri="{CE6537A1-D6FC-4f65-9D91-7224C49458BB}">
                  <c15:layout/>
                </c:ext>
              </c:extLst>
            </c:dLbl>
            <c:spPr>
              <a:noFill/>
              <a:ln w="25400">
                <a:noFill/>
              </a:ln>
            </c:spPr>
            <c:txPr>
              <a:bodyPr rot="0" vert="horz"/>
              <a:lstStyle/>
              <a:p>
                <a:pPr>
                  <a:defRPr b="1"/>
                </a:pPr>
                <a:endParaRPr lang="cs-CZ"/>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List1!$C$64:$C$65</c:f>
              <c:strCache>
                <c:ptCount val="2"/>
                <c:pt idx="0">
                  <c:v>muži</c:v>
                </c:pt>
                <c:pt idx="1">
                  <c:v>ženy</c:v>
                </c:pt>
              </c:strCache>
            </c:strRef>
          </c:cat>
          <c:val>
            <c:numRef>
              <c:f>List1!$D$64:$D$65</c:f>
              <c:numCache>
                <c:formatCode>0%</c:formatCode>
                <c:ptCount val="2"/>
                <c:pt idx="0">
                  <c:v>0.73</c:v>
                </c:pt>
                <c:pt idx="1">
                  <c:v>0.53</c:v>
                </c:pt>
              </c:numCache>
            </c:numRef>
          </c:val>
          <c:extLst xmlns:c16r2="http://schemas.microsoft.com/office/drawing/2015/06/chart">
            <c:ext xmlns:c16="http://schemas.microsoft.com/office/drawing/2014/chart" uri="{C3380CC4-5D6E-409C-BE32-E72D297353CC}">
              <c16:uniqueId val="{00000004-C03D-45F4-A837-4342B4E733B6}"/>
            </c:ext>
          </c:extLst>
        </c:ser>
        <c:dLbls>
          <c:showLegendKey val="0"/>
          <c:showVal val="0"/>
          <c:showCatName val="0"/>
          <c:showSerName val="0"/>
          <c:showPercent val="0"/>
          <c:showBubbleSize val="0"/>
          <c:showLeaderLines val="1"/>
        </c:dLbls>
        <c:firstSliceAng val="0"/>
      </c:pieChart>
      <c:spPr>
        <a:noFill/>
        <a:ln w="25400">
          <a:noFill/>
        </a:ln>
      </c:spPr>
    </c:plotArea>
    <c:legend>
      <c:legendPos val="b"/>
      <c:layout>
        <c:manualLayout>
          <c:xMode val="edge"/>
          <c:yMode val="edge"/>
          <c:x val="0.67459242772800676"/>
          <c:y val="0.75002842745547027"/>
          <c:w val="0.22177230815269233"/>
          <c:h val="0.16779247178672407"/>
        </c:manualLayout>
      </c:layout>
      <c:overlay val="0"/>
      <c:spPr>
        <a:noFill/>
        <a:ln w="25400">
          <a:noFill/>
        </a:ln>
      </c:spPr>
    </c:legend>
    <c:plotVisOnly val="1"/>
    <c:dispBlanksAs val="gap"/>
    <c:showDLblsOverMax val="0"/>
  </c:chart>
  <c:spPr>
    <a:solidFill>
      <a:schemeClr val="accent1">
        <a:lumMod val="40000"/>
        <a:lumOff val="60000"/>
      </a:schemeClr>
    </a:solidFill>
    <a:ln w="25400" cap="flat" cmpd="sng" algn="ctr">
      <a:solidFill>
        <a:schemeClr val="accent1"/>
      </a:solidFill>
      <a:prstDash val="solid"/>
    </a:ln>
    <a:effectLst/>
  </c:spPr>
  <c:txPr>
    <a:bodyPr/>
    <a:lstStyle/>
    <a:p>
      <a:pPr>
        <a:defRPr>
          <a:solidFill>
            <a:schemeClr val="dk1"/>
          </a:solidFill>
          <a:latin typeface="+mn-lt"/>
          <a:ea typeface="+mn-ea"/>
          <a:cs typeface="+mn-cs"/>
        </a:defRPr>
      </a:pPr>
      <a:endParaRPr lang="cs-CZ"/>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sz="900" b="1"/>
            </a:pPr>
            <a:r>
              <a:rPr lang="cs-CZ" sz="900" b="1"/>
              <a:t>pro srovnání:  rok 2020 </a:t>
            </a:r>
          </a:p>
        </c:rich>
      </c:tx>
      <c:layout/>
      <c:overlay val="0"/>
      <c:spPr>
        <a:noFill/>
        <a:ln w="25400">
          <a:noFill/>
        </a:ln>
      </c:spPr>
    </c:title>
    <c:autoTitleDeleted val="0"/>
    <c:plotArea>
      <c:layout>
        <c:manualLayout>
          <c:layoutTarget val="inner"/>
          <c:xMode val="edge"/>
          <c:yMode val="edge"/>
          <c:x val="0"/>
          <c:y val="0.15347011911972541"/>
          <c:w val="0.72821576093971863"/>
          <c:h val="0.80400292158050379"/>
        </c:manualLayout>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7A78-41FC-B6C5-216BE31F434A}"/>
              </c:ext>
            </c:extLst>
          </c:dPt>
          <c:dPt>
            <c:idx val="1"/>
            <c:bubble3D val="0"/>
            <c:spPr>
              <a:solidFill>
                <a:schemeClr val="accent6">
                  <a:lumMod val="75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3-7A78-41FC-B6C5-216BE31F434A}"/>
              </c:ext>
            </c:extLst>
          </c:dPt>
          <c:dLbls>
            <c:dLbl>
              <c:idx val="0"/>
              <c:layout>
                <c:manualLayout>
                  <c:x val="-0.24972946516931285"/>
                  <c:y val="-4.1731095830215795E-2"/>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7A78-41FC-B6C5-216BE31F434A}"/>
                </c:ext>
                <c:ext xmlns:c15="http://schemas.microsoft.com/office/drawing/2012/chart" uri="{CE6537A1-D6FC-4f65-9D91-7224C49458BB}">
                  <c15:layout/>
                </c:ext>
              </c:extLst>
            </c:dLbl>
            <c:dLbl>
              <c:idx val="1"/>
              <c:layout>
                <c:manualLayout>
                  <c:x val="6.4754098360655737E-2"/>
                  <c:y val="1.8307977339936582E-2"/>
                </c:manualLayout>
              </c:layout>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7A78-41FC-B6C5-216BE31F434A}"/>
                </c:ext>
                <c:ext xmlns:c15="http://schemas.microsoft.com/office/drawing/2012/chart" uri="{CE6537A1-D6FC-4f65-9D91-7224C49458BB}">
                  <c15:layout/>
                </c:ext>
              </c:extLst>
            </c:dLbl>
            <c:spPr>
              <a:noFill/>
              <a:ln w="25400">
                <a:noFill/>
              </a:ln>
            </c:spPr>
            <c:txPr>
              <a:bodyPr rot="0" vert="horz"/>
              <a:lstStyle/>
              <a:p>
                <a:pPr>
                  <a:defRPr sz="900" b="1"/>
                </a:pPr>
                <a:endParaRPr lang="cs-CZ"/>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List1!$C$70:$C$71</c:f>
              <c:strCache>
                <c:ptCount val="2"/>
                <c:pt idx="0">
                  <c:v>muži</c:v>
                </c:pt>
                <c:pt idx="1">
                  <c:v>ženy</c:v>
                </c:pt>
              </c:strCache>
            </c:strRef>
          </c:cat>
          <c:val>
            <c:numRef>
              <c:f>List1!$D$70:$D$71</c:f>
              <c:numCache>
                <c:formatCode>0%</c:formatCode>
                <c:ptCount val="2"/>
                <c:pt idx="0">
                  <c:v>0.77</c:v>
                </c:pt>
                <c:pt idx="1">
                  <c:v>0.79</c:v>
                </c:pt>
              </c:numCache>
            </c:numRef>
          </c:val>
          <c:extLst xmlns:c16r2="http://schemas.microsoft.com/office/drawing/2015/06/chart">
            <c:ext xmlns:c16="http://schemas.microsoft.com/office/drawing/2014/chart" uri="{C3380CC4-5D6E-409C-BE32-E72D297353CC}">
              <c16:uniqueId val="{00000004-7A78-41FC-B6C5-216BE31F434A}"/>
            </c:ext>
          </c:extLst>
        </c:ser>
        <c:dLbls>
          <c:showLegendKey val="0"/>
          <c:showVal val="0"/>
          <c:showCatName val="0"/>
          <c:showSerName val="0"/>
          <c:showPercent val="0"/>
          <c:showBubbleSize val="0"/>
          <c:showLeaderLines val="1"/>
        </c:dLbls>
        <c:firstSliceAng val="0"/>
      </c:pieChart>
      <c:spPr>
        <a:noFill/>
        <a:ln w="25400">
          <a:noFill/>
        </a:ln>
      </c:spPr>
    </c:plotArea>
    <c:legend>
      <c:legendPos val="b"/>
      <c:layout>
        <c:manualLayout>
          <c:xMode val="edge"/>
          <c:yMode val="edge"/>
          <c:x val="0.69626091820489655"/>
          <c:y val="0.72957209534328571"/>
          <c:w val="0.21953659481089449"/>
          <c:h val="0.20117160128739564"/>
        </c:manualLayout>
      </c:layout>
      <c:overlay val="0"/>
      <c:spPr>
        <a:noFill/>
        <a:ln w="25400">
          <a:noFill/>
        </a:ln>
      </c:spPr>
      <c:txPr>
        <a:bodyPr rot="0" vert="horz"/>
        <a:lstStyle/>
        <a:p>
          <a:pPr>
            <a:defRPr sz="900"/>
          </a:pPr>
          <a:endParaRPr lang="cs-CZ"/>
        </a:p>
      </c:txPr>
    </c:legend>
    <c:plotVisOnly val="1"/>
    <c:dispBlanksAs val="gap"/>
    <c:showDLblsOverMax val="0"/>
  </c:chart>
  <c:spPr>
    <a:solidFill>
      <a:schemeClr val="lt1"/>
    </a:solidFill>
    <a:ln w="25400" cap="flat" cmpd="sng" algn="ctr">
      <a:solidFill>
        <a:schemeClr val="accent1"/>
      </a:solidFill>
      <a:prstDash val="solid"/>
    </a:ln>
    <a:effectLst/>
  </c:spPr>
  <c:txPr>
    <a:bodyPr/>
    <a:lstStyle/>
    <a:p>
      <a:pPr>
        <a:defRPr>
          <a:solidFill>
            <a:schemeClr val="dk1"/>
          </a:solidFill>
          <a:latin typeface="+mn-lt"/>
          <a:ea typeface="+mn-ea"/>
          <a:cs typeface="+mn-cs"/>
        </a:defRPr>
      </a:pPr>
      <a:endParaRPr lang="cs-CZ"/>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cs-CZ" sz="1000"/>
              <a:t>Uchazeči/uchazečky o vstup do AČR</a:t>
            </a:r>
          </a:p>
        </c:rich>
      </c:tx>
      <c:layout/>
      <c:overlay val="0"/>
    </c:title>
    <c:autoTitleDeleted val="0"/>
    <c:plotArea>
      <c:layout>
        <c:manualLayout>
          <c:layoutTarget val="inner"/>
          <c:xMode val="edge"/>
          <c:yMode val="edge"/>
          <c:x val="3.0555555555555555E-2"/>
          <c:y val="0.14909740449110528"/>
          <c:w val="0.94527318460192478"/>
          <c:h val="0.73142487973065062"/>
        </c:manualLayout>
      </c:layout>
      <c:barChart>
        <c:barDir val="col"/>
        <c:grouping val="clustered"/>
        <c:varyColors val="0"/>
        <c:ser>
          <c:idx val="0"/>
          <c:order val="0"/>
          <c:tx>
            <c:strRef>
              <c:f>List1!$B$34</c:f>
              <c:strCache>
                <c:ptCount val="1"/>
                <c:pt idx="0">
                  <c:v>uchazeč</c:v>
                </c:pt>
              </c:strCache>
            </c:strRef>
          </c:tx>
          <c:spPr>
            <a:solidFill>
              <a:schemeClr val="accent1">
                <a:lumMod val="60000"/>
                <a:lumOff val="40000"/>
              </a:schemeClr>
            </a:solidFill>
            <a:ln>
              <a:solidFill>
                <a:schemeClr val="accent1">
                  <a:lumMod val="60000"/>
                  <a:lumOff val="40000"/>
                </a:schemeClr>
              </a:solidFill>
            </a:ln>
          </c:spPr>
          <c:invertIfNegative val="0"/>
          <c:dLbls>
            <c:spPr>
              <a:noFill/>
              <a:ln w="25400">
                <a:noFill/>
              </a:ln>
            </c:spPr>
            <c:txPr>
              <a:bodyPr/>
              <a:lstStyle/>
              <a:p>
                <a:pPr>
                  <a:defRPr sz="900" b="1"/>
                </a:pPr>
                <a:endParaRPr lang="cs-CZ"/>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List1!$A$35:$A$41</c:f>
              <c:strCache>
                <c:ptCount val="7"/>
                <c:pt idx="0">
                  <c:v>2012</c:v>
                </c:pt>
                <c:pt idx="1">
                  <c:v>2014</c:v>
                </c:pt>
                <c:pt idx="2">
                  <c:v>2015</c:v>
                </c:pt>
                <c:pt idx="3">
                  <c:v>2017</c:v>
                </c:pt>
                <c:pt idx="4">
                  <c:v>2019</c:v>
                </c:pt>
                <c:pt idx="5">
                  <c:v>2021</c:v>
                </c:pt>
                <c:pt idx="6">
                  <c:v>2022</c:v>
                </c:pt>
              </c:strCache>
            </c:strRef>
          </c:cat>
          <c:val>
            <c:numRef>
              <c:f>List1!$B$35:$B$41</c:f>
              <c:numCache>
                <c:formatCode>General</c:formatCode>
                <c:ptCount val="7"/>
                <c:pt idx="0">
                  <c:v>1092</c:v>
                </c:pt>
                <c:pt idx="1">
                  <c:v>1727</c:v>
                </c:pt>
                <c:pt idx="2">
                  <c:v>2927</c:v>
                </c:pt>
                <c:pt idx="3">
                  <c:v>2961</c:v>
                </c:pt>
                <c:pt idx="4">
                  <c:v>2679</c:v>
                </c:pt>
                <c:pt idx="5">
                  <c:v>1415</c:v>
                </c:pt>
                <c:pt idx="6">
                  <c:v>1956</c:v>
                </c:pt>
              </c:numCache>
            </c:numRef>
          </c:val>
          <c:extLst xmlns:c16r2="http://schemas.microsoft.com/office/drawing/2015/06/chart">
            <c:ext xmlns:c16="http://schemas.microsoft.com/office/drawing/2014/chart" uri="{C3380CC4-5D6E-409C-BE32-E72D297353CC}">
              <c16:uniqueId val="{00000000-3B2B-4323-B008-501B90C41DAF}"/>
            </c:ext>
          </c:extLst>
        </c:ser>
        <c:ser>
          <c:idx val="1"/>
          <c:order val="1"/>
          <c:tx>
            <c:strRef>
              <c:f>List1!$C$34</c:f>
              <c:strCache>
                <c:ptCount val="1"/>
                <c:pt idx="0">
                  <c:v>uchazečka</c:v>
                </c:pt>
              </c:strCache>
            </c:strRef>
          </c:tx>
          <c:spPr>
            <a:solidFill>
              <a:schemeClr val="accent6">
                <a:lumMod val="75000"/>
              </a:schemeClr>
            </a:solidFill>
          </c:spPr>
          <c:invertIfNegative val="0"/>
          <c:dLbls>
            <c:spPr>
              <a:noFill/>
              <a:ln w="25400">
                <a:noFill/>
              </a:ln>
            </c:spPr>
            <c:txPr>
              <a:bodyPr/>
              <a:lstStyle/>
              <a:p>
                <a:pPr>
                  <a:defRPr sz="900" b="1"/>
                </a:pPr>
                <a:endParaRPr lang="cs-CZ"/>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List1!$A$35:$A$41</c:f>
              <c:strCache>
                <c:ptCount val="7"/>
                <c:pt idx="0">
                  <c:v>2012</c:v>
                </c:pt>
                <c:pt idx="1">
                  <c:v>2014</c:v>
                </c:pt>
                <c:pt idx="2">
                  <c:v>2015</c:v>
                </c:pt>
                <c:pt idx="3">
                  <c:v>2017</c:v>
                </c:pt>
                <c:pt idx="4">
                  <c:v>2019</c:v>
                </c:pt>
                <c:pt idx="5">
                  <c:v>2021</c:v>
                </c:pt>
                <c:pt idx="6">
                  <c:v>2022</c:v>
                </c:pt>
              </c:strCache>
            </c:strRef>
          </c:cat>
          <c:val>
            <c:numRef>
              <c:f>List1!$C$35:$C$41</c:f>
              <c:numCache>
                <c:formatCode>General</c:formatCode>
                <c:ptCount val="7"/>
                <c:pt idx="0">
                  <c:v>29</c:v>
                </c:pt>
                <c:pt idx="1">
                  <c:v>23</c:v>
                </c:pt>
                <c:pt idx="2">
                  <c:v>90</c:v>
                </c:pt>
                <c:pt idx="3">
                  <c:v>211</c:v>
                </c:pt>
                <c:pt idx="4">
                  <c:v>646</c:v>
                </c:pt>
                <c:pt idx="5">
                  <c:v>242</c:v>
                </c:pt>
                <c:pt idx="6">
                  <c:v>443</c:v>
                </c:pt>
              </c:numCache>
            </c:numRef>
          </c:val>
          <c:extLst xmlns:c16r2="http://schemas.microsoft.com/office/drawing/2015/06/chart">
            <c:ext xmlns:c16="http://schemas.microsoft.com/office/drawing/2014/chart" uri="{C3380CC4-5D6E-409C-BE32-E72D297353CC}">
              <c16:uniqueId val="{00000001-3B2B-4323-B008-501B90C41DAF}"/>
            </c:ext>
          </c:extLst>
        </c:ser>
        <c:dLbls>
          <c:showLegendKey val="0"/>
          <c:showVal val="0"/>
          <c:showCatName val="0"/>
          <c:showSerName val="0"/>
          <c:showPercent val="0"/>
          <c:showBubbleSize val="0"/>
        </c:dLbls>
        <c:gapWidth val="150"/>
        <c:axId val="334599872"/>
        <c:axId val="334600264"/>
      </c:barChart>
      <c:catAx>
        <c:axId val="334599872"/>
        <c:scaling>
          <c:orientation val="minMax"/>
        </c:scaling>
        <c:delete val="0"/>
        <c:axPos val="b"/>
        <c:numFmt formatCode="General" sourceLinked="1"/>
        <c:majorTickMark val="out"/>
        <c:minorTickMark val="none"/>
        <c:tickLblPos val="nextTo"/>
        <c:crossAx val="334600264"/>
        <c:crosses val="autoZero"/>
        <c:auto val="1"/>
        <c:lblAlgn val="ctr"/>
        <c:lblOffset val="100"/>
        <c:noMultiLvlLbl val="0"/>
      </c:catAx>
      <c:valAx>
        <c:axId val="334600264"/>
        <c:scaling>
          <c:orientation val="minMax"/>
        </c:scaling>
        <c:delete val="1"/>
        <c:axPos val="l"/>
        <c:numFmt formatCode="General" sourceLinked="1"/>
        <c:majorTickMark val="out"/>
        <c:minorTickMark val="none"/>
        <c:tickLblPos val="nextTo"/>
        <c:crossAx val="334599872"/>
        <c:crosses val="autoZero"/>
        <c:crossBetween val="between"/>
      </c:valAx>
      <c:spPr>
        <a:solidFill>
          <a:schemeClr val="accent1">
            <a:lumMod val="20000"/>
            <a:lumOff val="80000"/>
          </a:schemeClr>
        </a:solidFill>
      </c:spPr>
    </c:plotArea>
    <c:legend>
      <c:legendPos val="r"/>
      <c:layout>
        <c:manualLayout>
          <c:xMode val="edge"/>
          <c:yMode val="edge"/>
          <c:x val="0.82582874015748031"/>
          <c:y val="1.0400178126834404E-2"/>
          <c:w val="0.15472681539807531"/>
          <c:h val="0.1231801037723755"/>
        </c:manualLayout>
      </c:layout>
      <c:overlay val="0"/>
      <c:txPr>
        <a:bodyPr/>
        <a:lstStyle/>
        <a:p>
          <a:pPr>
            <a:defRPr sz="900"/>
          </a:pPr>
          <a:endParaRPr lang="cs-CZ"/>
        </a:p>
      </c:txPr>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cs-CZ" sz="1000"/>
              <a:t>Přijat/přijata do AČR</a:t>
            </a:r>
          </a:p>
        </c:rich>
      </c:tx>
      <c:layout/>
      <c:overlay val="0"/>
    </c:title>
    <c:autoTitleDeleted val="0"/>
    <c:plotArea>
      <c:layout>
        <c:manualLayout>
          <c:layoutTarget val="inner"/>
          <c:xMode val="edge"/>
          <c:yMode val="edge"/>
          <c:x val="1.6821741032370951E-2"/>
          <c:y val="0.17640055409740449"/>
          <c:w val="0.97388757655293068"/>
          <c:h val="0.73076771653543304"/>
        </c:manualLayout>
      </c:layout>
      <c:barChart>
        <c:barDir val="col"/>
        <c:grouping val="clustered"/>
        <c:varyColors val="0"/>
        <c:ser>
          <c:idx val="0"/>
          <c:order val="0"/>
          <c:tx>
            <c:strRef>
              <c:f>List1!$B$42</c:f>
              <c:strCache>
                <c:ptCount val="1"/>
                <c:pt idx="0">
                  <c:v>přijat</c:v>
                </c:pt>
              </c:strCache>
            </c:strRef>
          </c:tx>
          <c:spPr>
            <a:solidFill>
              <a:schemeClr val="accent1">
                <a:lumMod val="60000"/>
                <a:lumOff val="40000"/>
              </a:schemeClr>
            </a:solidFill>
          </c:spPr>
          <c:invertIfNegative val="0"/>
          <c:dLbls>
            <c:spPr>
              <a:noFill/>
              <a:ln w="25400">
                <a:noFill/>
              </a:ln>
            </c:spPr>
            <c:txPr>
              <a:bodyPr/>
              <a:lstStyle/>
              <a:p>
                <a:pPr>
                  <a:defRPr sz="900" b="1"/>
                </a:pPr>
                <a:endParaRPr lang="cs-CZ"/>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List1!$A$43:$A$49</c:f>
              <c:strCache>
                <c:ptCount val="7"/>
                <c:pt idx="0">
                  <c:v>2012</c:v>
                </c:pt>
                <c:pt idx="1">
                  <c:v>2014</c:v>
                </c:pt>
                <c:pt idx="2">
                  <c:v>2015</c:v>
                </c:pt>
                <c:pt idx="3">
                  <c:v>2017</c:v>
                </c:pt>
                <c:pt idx="4">
                  <c:v>2019</c:v>
                </c:pt>
                <c:pt idx="5">
                  <c:v>2021</c:v>
                </c:pt>
                <c:pt idx="6">
                  <c:v>2022</c:v>
                </c:pt>
              </c:strCache>
            </c:strRef>
          </c:cat>
          <c:val>
            <c:numRef>
              <c:f>List1!$B$43:$B$49</c:f>
              <c:numCache>
                <c:formatCode>General</c:formatCode>
                <c:ptCount val="7"/>
                <c:pt idx="0">
                  <c:v>608</c:v>
                </c:pt>
                <c:pt idx="1">
                  <c:v>306</c:v>
                </c:pt>
                <c:pt idx="2">
                  <c:v>1509</c:v>
                </c:pt>
                <c:pt idx="3">
                  <c:v>1925</c:v>
                </c:pt>
                <c:pt idx="4">
                  <c:v>1290</c:v>
                </c:pt>
                <c:pt idx="5">
                  <c:v>1015</c:v>
                </c:pt>
                <c:pt idx="6">
                  <c:v>1434</c:v>
                </c:pt>
              </c:numCache>
            </c:numRef>
          </c:val>
          <c:extLst xmlns:c16r2="http://schemas.microsoft.com/office/drawing/2015/06/chart">
            <c:ext xmlns:c16="http://schemas.microsoft.com/office/drawing/2014/chart" uri="{C3380CC4-5D6E-409C-BE32-E72D297353CC}">
              <c16:uniqueId val="{00000000-593E-4CB1-8152-65714246CE37}"/>
            </c:ext>
          </c:extLst>
        </c:ser>
        <c:ser>
          <c:idx val="1"/>
          <c:order val="1"/>
          <c:tx>
            <c:strRef>
              <c:f>List1!$C$42</c:f>
              <c:strCache>
                <c:ptCount val="1"/>
                <c:pt idx="0">
                  <c:v>přijata</c:v>
                </c:pt>
              </c:strCache>
            </c:strRef>
          </c:tx>
          <c:spPr>
            <a:solidFill>
              <a:schemeClr val="accent6">
                <a:lumMod val="75000"/>
              </a:schemeClr>
            </a:solidFill>
          </c:spPr>
          <c:invertIfNegative val="0"/>
          <c:dLbls>
            <c:spPr>
              <a:noFill/>
              <a:ln w="25400">
                <a:noFill/>
              </a:ln>
            </c:spPr>
            <c:txPr>
              <a:bodyPr/>
              <a:lstStyle/>
              <a:p>
                <a:pPr>
                  <a:defRPr sz="900" b="1"/>
                </a:pPr>
                <a:endParaRPr lang="cs-CZ"/>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List1!$A$43:$A$49</c:f>
              <c:strCache>
                <c:ptCount val="7"/>
                <c:pt idx="0">
                  <c:v>2012</c:v>
                </c:pt>
                <c:pt idx="1">
                  <c:v>2014</c:v>
                </c:pt>
                <c:pt idx="2">
                  <c:v>2015</c:v>
                </c:pt>
                <c:pt idx="3">
                  <c:v>2017</c:v>
                </c:pt>
                <c:pt idx="4">
                  <c:v>2019</c:v>
                </c:pt>
                <c:pt idx="5">
                  <c:v>2021</c:v>
                </c:pt>
                <c:pt idx="6">
                  <c:v>2022</c:v>
                </c:pt>
              </c:strCache>
            </c:strRef>
          </c:cat>
          <c:val>
            <c:numRef>
              <c:f>List1!$C$43:$C$49</c:f>
              <c:numCache>
                <c:formatCode>General</c:formatCode>
                <c:ptCount val="7"/>
                <c:pt idx="0">
                  <c:v>26</c:v>
                </c:pt>
                <c:pt idx="1">
                  <c:v>18</c:v>
                </c:pt>
                <c:pt idx="2">
                  <c:v>57</c:v>
                </c:pt>
                <c:pt idx="3">
                  <c:v>249</c:v>
                </c:pt>
                <c:pt idx="4">
                  <c:v>174</c:v>
                </c:pt>
                <c:pt idx="5">
                  <c:v>213</c:v>
                </c:pt>
                <c:pt idx="6">
                  <c:v>233</c:v>
                </c:pt>
              </c:numCache>
            </c:numRef>
          </c:val>
          <c:extLst xmlns:c16r2="http://schemas.microsoft.com/office/drawing/2015/06/chart">
            <c:ext xmlns:c16="http://schemas.microsoft.com/office/drawing/2014/chart" uri="{C3380CC4-5D6E-409C-BE32-E72D297353CC}">
              <c16:uniqueId val="{00000001-593E-4CB1-8152-65714246CE37}"/>
            </c:ext>
          </c:extLst>
        </c:ser>
        <c:dLbls>
          <c:showLegendKey val="0"/>
          <c:showVal val="0"/>
          <c:showCatName val="0"/>
          <c:showSerName val="0"/>
          <c:showPercent val="0"/>
          <c:showBubbleSize val="0"/>
        </c:dLbls>
        <c:gapWidth val="150"/>
        <c:axId val="335109312"/>
        <c:axId val="335108528"/>
      </c:barChart>
      <c:catAx>
        <c:axId val="335109312"/>
        <c:scaling>
          <c:orientation val="minMax"/>
        </c:scaling>
        <c:delete val="0"/>
        <c:axPos val="b"/>
        <c:numFmt formatCode="General" sourceLinked="1"/>
        <c:majorTickMark val="out"/>
        <c:minorTickMark val="none"/>
        <c:tickLblPos val="nextTo"/>
        <c:crossAx val="335108528"/>
        <c:crosses val="autoZero"/>
        <c:auto val="1"/>
        <c:lblAlgn val="ctr"/>
        <c:lblOffset val="100"/>
        <c:noMultiLvlLbl val="0"/>
      </c:catAx>
      <c:valAx>
        <c:axId val="335108528"/>
        <c:scaling>
          <c:orientation val="minMax"/>
        </c:scaling>
        <c:delete val="1"/>
        <c:axPos val="l"/>
        <c:numFmt formatCode="General" sourceLinked="1"/>
        <c:majorTickMark val="out"/>
        <c:minorTickMark val="none"/>
        <c:tickLblPos val="nextTo"/>
        <c:crossAx val="335109312"/>
        <c:crosses val="autoZero"/>
        <c:crossBetween val="between"/>
      </c:valAx>
      <c:spPr>
        <a:solidFill>
          <a:schemeClr val="accent1">
            <a:lumMod val="20000"/>
            <a:lumOff val="80000"/>
          </a:schemeClr>
        </a:solidFill>
      </c:spPr>
    </c:plotArea>
    <c:legend>
      <c:legendPos val="r"/>
      <c:layout>
        <c:manualLayout>
          <c:xMode val="edge"/>
          <c:yMode val="edge"/>
          <c:x val="0.87607874015748022"/>
          <c:y val="1.7256488772236803E-2"/>
          <c:w val="0.11003237095363083"/>
          <c:h val="0.13773257509477982"/>
        </c:manualLayout>
      </c:layout>
      <c:overlay val="0"/>
      <c:txPr>
        <a:bodyPr/>
        <a:lstStyle/>
        <a:p>
          <a:pPr>
            <a:defRPr sz="900"/>
          </a:pPr>
          <a:endParaRPr lang="cs-CZ"/>
        </a:p>
      </c:txPr>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50"/>
            </a:pPr>
            <a:r>
              <a:rPr lang="cs-CZ" sz="1050"/>
              <a:t>Vývoj počtu vojákyň - vybrané roky (k 1. 1.) </a:t>
            </a:r>
          </a:p>
        </c:rich>
      </c:tx>
      <c:layout/>
      <c:overlay val="0"/>
    </c:title>
    <c:autoTitleDeleted val="0"/>
    <c:plotArea>
      <c:layout>
        <c:manualLayout>
          <c:layoutTarget val="inner"/>
          <c:xMode val="edge"/>
          <c:yMode val="edge"/>
          <c:x val="4.3654657945375194E-2"/>
          <c:y val="0.16041666666666668"/>
          <c:w val="0.92468716697356879"/>
          <c:h val="0.57760061242344707"/>
        </c:manualLayout>
      </c:layout>
      <c:barChart>
        <c:barDir val="col"/>
        <c:grouping val="clustered"/>
        <c:varyColors val="0"/>
        <c:ser>
          <c:idx val="0"/>
          <c:order val="0"/>
          <c:tx>
            <c:strRef>
              <c:f>List1!$B$6</c:f>
              <c:strCache>
                <c:ptCount val="1"/>
                <c:pt idx="0">
                  <c:v>VZP-celkem</c:v>
                </c:pt>
              </c:strCache>
            </c:strRef>
          </c:tx>
          <c:invertIfNegative val="0"/>
          <c:dLbls>
            <c:dLbl>
              <c:idx val="7"/>
              <c:layout>
                <c:manualLayout>
                  <c:x val="2.3980815347721821E-3"/>
                  <c:y val="1.8518518518518476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4F8F-4582-BE07-927F29DE94EE}"/>
                </c:ext>
                <c:ext xmlns:c15="http://schemas.microsoft.com/office/drawing/2012/chart" uri="{CE6537A1-D6FC-4f65-9D91-7224C49458BB}">
                  <c15:layout/>
                </c:ext>
              </c:extLst>
            </c:dLbl>
            <c:dLbl>
              <c:idx val="9"/>
              <c:layout>
                <c:manualLayout>
                  <c:x val="0"/>
                  <c:y val="2.7777777777777776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F8F-4582-BE07-927F29DE94EE}"/>
                </c:ext>
                <c:ext xmlns:c15="http://schemas.microsoft.com/office/drawing/2012/chart" uri="{CE6537A1-D6FC-4f65-9D91-7224C49458BB}">
                  <c15:layout/>
                </c:ext>
              </c:extLst>
            </c:dLbl>
            <c:dLbl>
              <c:idx val="10"/>
              <c:layout>
                <c:manualLayout>
                  <c:x val="0"/>
                  <c:y val="1.3888888888888888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4F8F-4582-BE07-927F29DE94EE}"/>
                </c:ext>
                <c:ext xmlns:c15="http://schemas.microsoft.com/office/drawing/2012/chart" uri="{CE6537A1-D6FC-4f65-9D91-7224C49458BB}">
                  <c15:layout/>
                </c:ext>
              </c:extLst>
            </c:dLbl>
            <c:spPr>
              <a:noFill/>
              <a:ln w="25400">
                <a:noFill/>
              </a:ln>
            </c:spPr>
            <c:txPr>
              <a:bodyPr/>
              <a:lstStyle/>
              <a:p>
                <a:pPr>
                  <a:defRPr sz="900" b="1"/>
                </a:pPr>
                <a:endParaRPr lang="cs-CZ"/>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List1!$A$7:$A$17</c:f>
              <c:strCache>
                <c:ptCount val="11"/>
                <c:pt idx="0">
                  <c:v>2003 10,7%</c:v>
                </c:pt>
                <c:pt idx="1">
                  <c:v>2005 12,2%</c:v>
                </c:pt>
                <c:pt idx="2">
                  <c:v>2007 12,4%</c:v>
                </c:pt>
                <c:pt idx="3">
                  <c:v>2009   13%</c:v>
                </c:pt>
                <c:pt idx="4">
                  <c:v>2011  13,6%</c:v>
                </c:pt>
                <c:pt idx="5">
                  <c:v>2013 13,7%</c:v>
                </c:pt>
                <c:pt idx="6">
                  <c:v>2016 13,1%</c:v>
                </c:pt>
                <c:pt idx="7">
                  <c:v>2018  13%</c:v>
                </c:pt>
                <c:pt idx="8">
                  <c:v>2020 13%  </c:v>
                </c:pt>
                <c:pt idx="9">
                  <c:v>2022 13,7%</c:v>
                </c:pt>
                <c:pt idx="10">
                  <c:v>2023 13,8%</c:v>
                </c:pt>
              </c:strCache>
            </c:strRef>
          </c:cat>
          <c:val>
            <c:numRef>
              <c:f>List1!$B$7:$B$17</c:f>
              <c:numCache>
                <c:formatCode>General</c:formatCode>
                <c:ptCount val="11"/>
                <c:pt idx="0">
                  <c:v>21247</c:v>
                </c:pt>
                <c:pt idx="1">
                  <c:v>22811</c:v>
                </c:pt>
                <c:pt idx="2">
                  <c:v>24229</c:v>
                </c:pt>
                <c:pt idx="3">
                  <c:v>24103</c:v>
                </c:pt>
                <c:pt idx="4">
                  <c:v>21751</c:v>
                </c:pt>
                <c:pt idx="5">
                  <c:v>21733</c:v>
                </c:pt>
                <c:pt idx="6">
                  <c:v>21970</c:v>
                </c:pt>
                <c:pt idx="7">
                  <c:v>24521</c:v>
                </c:pt>
                <c:pt idx="8">
                  <c:v>22542</c:v>
                </c:pt>
                <c:pt idx="9">
                  <c:v>26928</c:v>
                </c:pt>
                <c:pt idx="10">
                  <c:v>27197</c:v>
                </c:pt>
              </c:numCache>
            </c:numRef>
          </c:val>
          <c:extLst xmlns:c16r2="http://schemas.microsoft.com/office/drawing/2015/06/chart">
            <c:ext xmlns:c16="http://schemas.microsoft.com/office/drawing/2014/chart" uri="{C3380CC4-5D6E-409C-BE32-E72D297353CC}">
              <c16:uniqueId val="{00000003-4F8F-4582-BE07-927F29DE94EE}"/>
            </c:ext>
          </c:extLst>
        </c:ser>
        <c:ser>
          <c:idx val="1"/>
          <c:order val="1"/>
          <c:tx>
            <c:strRef>
              <c:f>List1!$C$6</c:f>
              <c:strCache>
                <c:ptCount val="1"/>
                <c:pt idx="0">
                  <c:v>z toho vojákyně</c:v>
                </c:pt>
              </c:strCache>
            </c:strRef>
          </c:tx>
          <c:invertIfNegative val="0"/>
          <c:dLbls>
            <c:dLbl>
              <c:idx val="0"/>
              <c:layout>
                <c:manualLayout>
                  <c:x val="1.4005602240896349E-2"/>
                  <c:y val="-8.4875562720133283E-17"/>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4F8F-4582-BE07-927F29DE94EE}"/>
                </c:ext>
                <c:ext xmlns:c15="http://schemas.microsoft.com/office/drawing/2012/chart" uri="{CE6537A1-D6FC-4f65-9D91-7224C49458BB}">
                  <c15:layout/>
                </c:ext>
              </c:extLst>
            </c:dLbl>
            <c:dLbl>
              <c:idx val="1"/>
              <c:layout>
                <c:manualLayout>
                  <c:x val="1.4347202295552367E-2"/>
                  <c:y val="0"/>
                </c:manualLayout>
              </c:layout>
              <c:spPr/>
              <c:txPr>
                <a:bodyPr/>
                <a:lstStyle/>
                <a:p>
                  <a:pPr>
                    <a:defRPr sz="900" b="1"/>
                  </a:pPr>
                  <a:endParaRPr lang="cs-CZ"/>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4F8F-4582-BE07-927F29DE94EE}"/>
                </c:ext>
                <c:ext xmlns:c15="http://schemas.microsoft.com/office/drawing/2012/chart" uri="{CE6537A1-D6FC-4f65-9D91-7224C49458BB}">
                  <c15:layout/>
                </c:ext>
              </c:extLst>
            </c:dLbl>
            <c:dLbl>
              <c:idx val="2"/>
              <c:layout>
                <c:manualLayout>
                  <c:x val="2.1520803443328552E-2"/>
                  <c:y val="-4.6296296296297144E-3"/>
                </c:manualLayout>
              </c:layout>
              <c:spPr/>
              <c:txPr>
                <a:bodyPr/>
                <a:lstStyle/>
                <a:p>
                  <a:pPr>
                    <a:defRPr sz="900" b="1"/>
                  </a:pPr>
                  <a:endParaRPr lang="cs-CZ"/>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4F8F-4582-BE07-927F29DE94EE}"/>
                </c:ext>
                <c:ext xmlns:c15="http://schemas.microsoft.com/office/drawing/2012/chart" uri="{CE6537A1-D6FC-4f65-9D91-7224C49458BB}">
                  <c15:layout/>
                </c:ext>
              </c:extLst>
            </c:dLbl>
            <c:dLbl>
              <c:idx val="3"/>
              <c:layout>
                <c:manualLayout>
                  <c:x val="1.1956001912960305E-2"/>
                  <c:y val="4.6296296296297144E-3"/>
                </c:manualLayout>
              </c:layout>
              <c:spPr/>
              <c:txPr>
                <a:bodyPr/>
                <a:lstStyle/>
                <a:p>
                  <a:pPr>
                    <a:defRPr sz="900" b="1"/>
                  </a:pPr>
                  <a:endParaRPr lang="cs-CZ"/>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4F8F-4582-BE07-927F29DE94EE}"/>
                </c:ext>
                <c:ext xmlns:c15="http://schemas.microsoft.com/office/drawing/2012/chart" uri="{CE6537A1-D6FC-4f65-9D91-7224C49458BB}">
                  <c15:layout/>
                </c:ext>
              </c:extLst>
            </c:dLbl>
            <c:dLbl>
              <c:idx val="4"/>
              <c:layout>
                <c:manualLayout>
                  <c:x val="1.6738402678144429E-2"/>
                  <c:y val="9.2592592592592587E-3"/>
                </c:manualLayout>
              </c:layout>
              <c:spPr/>
              <c:txPr>
                <a:bodyPr/>
                <a:lstStyle/>
                <a:p>
                  <a:pPr>
                    <a:defRPr sz="900" b="1"/>
                  </a:pPr>
                  <a:endParaRPr lang="cs-CZ"/>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4F8F-4582-BE07-927F29DE94EE}"/>
                </c:ext>
                <c:ext xmlns:c15="http://schemas.microsoft.com/office/drawing/2012/chart" uri="{CE6537A1-D6FC-4f65-9D91-7224C49458BB}">
                  <c15:layout/>
                </c:ext>
              </c:extLst>
            </c:dLbl>
            <c:dLbl>
              <c:idx val="5"/>
              <c:layout>
                <c:manualLayout>
                  <c:x val="2.1520803443328552E-2"/>
                  <c:y val="4.6296296296296294E-3"/>
                </c:manualLayout>
              </c:layout>
              <c:spPr/>
              <c:txPr>
                <a:bodyPr/>
                <a:lstStyle/>
                <a:p>
                  <a:pPr>
                    <a:defRPr sz="900" b="1"/>
                  </a:pPr>
                  <a:endParaRPr lang="cs-CZ"/>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4F8F-4582-BE07-927F29DE94EE}"/>
                </c:ext>
                <c:ext xmlns:c15="http://schemas.microsoft.com/office/drawing/2012/chart" uri="{CE6537A1-D6FC-4f65-9D91-7224C49458BB}">
                  <c15:layout/>
                </c:ext>
              </c:extLst>
            </c:dLbl>
            <c:dLbl>
              <c:idx val="6"/>
              <c:layout>
                <c:manualLayout>
                  <c:x val="1.4347202295552367E-2"/>
                  <c:y val="4.6296296296296294E-3"/>
                </c:manualLayout>
              </c:layout>
              <c:spPr/>
              <c:txPr>
                <a:bodyPr/>
                <a:lstStyle/>
                <a:p>
                  <a:pPr>
                    <a:defRPr sz="900" b="1"/>
                  </a:pPr>
                  <a:endParaRPr lang="cs-CZ"/>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4F8F-4582-BE07-927F29DE94EE}"/>
                </c:ext>
                <c:ext xmlns:c15="http://schemas.microsoft.com/office/drawing/2012/chart" uri="{CE6537A1-D6FC-4f65-9D91-7224C49458BB}">
                  <c15:layout/>
                </c:ext>
              </c:extLst>
            </c:dLbl>
            <c:dLbl>
              <c:idx val="7"/>
              <c:layout>
                <c:manualLayout>
                  <c:x val="1.4347202295552456E-2"/>
                  <c:y val="0"/>
                </c:manualLayout>
              </c:layout>
              <c:spPr/>
              <c:txPr>
                <a:bodyPr/>
                <a:lstStyle/>
                <a:p>
                  <a:pPr>
                    <a:defRPr sz="900" b="1"/>
                  </a:pPr>
                  <a:endParaRPr lang="cs-CZ"/>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4F8F-4582-BE07-927F29DE94EE}"/>
                </c:ext>
                <c:ext xmlns:c15="http://schemas.microsoft.com/office/drawing/2012/chart" uri="{CE6537A1-D6FC-4f65-9D91-7224C49458BB}">
                  <c15:layout/>
                </c:ext>
              </c:extLst>
            </c:dLbl>
            <c:dLbl>
              <c:idx val="8"/>
              <c:layout>
                <c:manualLayout>
                  <c:x val="9.5648015303682454E-3"/>
                  <c:y val="0"/>
                </c:manualLayout>
              </c:layout>
              <c:spPr/>
              <c:txPr>
                <a:bodyPr/>
                <a:lstStyle/>
                <a:p>
                  <a:pPr>
                    <a:defRPr sz="900" b="1"/>
                  </a:pPr>
                  <a:endParaRPr lang="cs-CZ"/>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4F8F-4582-BE07-927F29DE94EE}"/>
                </c:ext>
                <c:ext xmlns:c15="http://schemas.microsoft.com/office/drawing/2012/chart" uri="{CE6537A1-D6FC-4f65-9D91-7224C49458BB}">
                  <c15:layout/>
                </c:ext>
              </c:extLst>
            </c:dLbl>
            <c:dLbl>
              <c:idx val="9"/>
              <c:layout>
                <c:manualLayout>
                  <c:x val="1.6738402678144429E-2"/>
                  <c:y val="4.6296296296296294E-3"/>
                </c:manualLayout>
              </c:layout>
              <c:spPr/>
              <c:txPr>
                <a:bodyPr/>
                <a:lstStyle/>
                <a:p>
                  <a:pPr>
                    <a:defRPr sz="900" b="1"/>
                  </a:pPr>
                  <a:endParaRPr lang="cs-CZ"/>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4F8F-4582-BE07-927F29DE94EE}"/>
                </c:ext>
                <c:ext xmlns:c15="http://schemas.microsoft.com/office/drawing/2012/chart" uri="{CE6537A1-D6FC-4f65-9D91-7224C49458BB}">
                  <c15:layout/>
                </c:ext>
              </c:extLst>
            </c:dLbl>
            <c:dLbl>
              <c:idx val="10"/>
              <c:layout>
                <c:manualLayout>
                  <c:x val="1.4347202295552367E-2"/>
                  <c:y val="4.6296296296297144E-3"/>
                </c:manualLayout>
              </c:layout>
              <c:spPr/>
              <c:txPr>
                <a:bodyPr/>
                <a:lstStyle/>
                <a:p>
                  <a:pPr>
                    <a:defRPr sz="900" b="1"/>
                  </a:pPr>
                  <a:endParaRPr lang="cs-CZ"/>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4F8F-4582-BE07-927F29DE94EE}"/>
                </c:ext>
                <c:ext xmlns:c15="http://schemas.microsoft.com/office/drawing/2012/chart" uri="{CE6537A1-D6FC-4f65-9D91-7224C49458BB}">
                  <c15:layout/>
                </c:ext>
              </c:extLst>
            </c:dLbl>
            <c:spPr>
              <a:noFill/>
              <a:ln w="25400">
                <a:noFill/>
              </a:ln>
            </c:spPr>
            <c:txPr>
              <a:bodyPr/>
              <a:lstStyle/>
              <a:p>
                <a:pPr>
                  <a:defRPr sz="900" b="1"/>
                </a:pPr>
                <a:endParaRPr lang="cs-CZ"/>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List1!$A$7:$A$17</c:f>
              <c:strCache>
                <c:ptCount val="11"/>
                <c:pt idx="0">
                  <c:v>2003 10,7%</c:v>
                </c:pt>
                <c:pt idx="1">
                  <c:v>2005 12,2%</c:v>
                </c:pt>
                <c:pt idx="2">
                  <c:v>2007 12,4%</c:v>
                </c:pt>
                <c:pt idx="3">
                  <c:v>2009   13%</c:v>
                </c:pt>
                <c:pt idx="4">
                  <c:v>2011  13,6%</c:v>
                </c:pt>
                <c:pt idx="5">
                  <c:v>2013 13,7%</c:v>
                </c:pt>
                <c:pt idx="6">
                  <c:v>2016 13,1%</c:v>
                </c:pt>
                <c:pt idx="7">
                  <c:v>2018  13%</c:v>
                </c:pt>
                <c:pt idx="8">
                  <c:v>2020 13%  </c:v>
                </c:pt>
                <c:pt idx="9">
                  <c:v>2022 13,7%</c:v>
                </c:pt>
                <c:pt idx="10">
                  <c:v>2023 13,8%</c:v>
                </c:pt>
              </c:strCache>
            </c:strRef>
          </c:cat>
          <c:val>
            <c:numRef>
              <c:f>List1!$C$7:$C$17</c:f>
              <c:numCache>
                <c:formatCode>General</c:formatCode>
                <c:ptCount val="11"/>
                <c:pt idx="0">
                  <c:v>2277</c:v>
                </c:pt>
                <c:pt idx="1">
                  <c:v>2786</c:v>
                </c:pt>
                <c:pt idx="2">
                  <c:v>3001</c:v>
                </c:pt>
                <c:pt idx="3">
                  <c:v>3141</c:v>
                </c:pt>
                <c:pt idx="4">
                  <c:v>3024</c:v>
                </c:pt>
                <c:pt idx="5">
                  <c:v>2987</c:v>
                </c:pt>
                <c:pt idx="6">
                  <c:v>2874</c:v>
                </c:pt>
                <c:pt idx="7">
                  <c:v>3088</c:v>
                </c:pt>
                <c:pt idx="8">
                  <c:v>3357</c:v>
                </c:pt>
                <c:pt idx="9">
                  <c:v>3689</c:v>
                </c:pt>
                <c:pt idx="10">
                  <c:v>3764</c:v>
                </c:pt>
              </c:numCache>
            </c:numRef>
          </c:val>
          <c:extLst xmlns:c16r2="http://schemas.microsoft.com/office/drawing/2015/06/chart">
            <c:ext xmlns:c16="http://schemas.microsoft.com/office/drawing/2014/chart" uri="{C3380CC4-5D6E-409C-BE32-E72D297353CC}">
              <c16:uniqueId val="{0000000F-4F8F-4582-BE07-927F29DE94EE}"/>
            </c:ext>
          </c:extLst>
        </c:ser>
        <c:dLbls>
          <c:showLegendKey val="0"/>
          <c:showVal val="0"/>
          <c:showCatName val="0"/>
          <c:showSerName val="0"/>
          <c:showPercent val="0"/>
          <c:showBubbleSize val="0"/>
        </c:dLbls>
        <c:gapWidth val="150"/>
        <c:axId val="335109704"/>
        <c:axId val="335106176"/>
      </c:barChart>
      <c:catAx>
        <c:axId val="335109704"/>
        <c:scaling>
          <c:orientation val="minMax"/>
        </c:scaling>
        <c:delete val="0"/>
        <c:axPos val="b"/>
        <c:numFmt formatCode="General" sourceLinked="1"/>
        <c:majorTickMark val="out"/>
        <c:minorTickMark val="none"/>
        <c:tickLblPos val="nextTo"/>
        <c:txPr>
          <a:bodyPr/>
          <a:lstStyle/>
          <a:p>
            <a:pPr>
              <a:defRPr sz="900" b="1"/>
            </a:pPr>
            <a:endParaRPr lang="cs-CZ"/>
          </a:p>
        </c:txPr>
        <c:crossAx val="335106176"/>
        <c:crosses val="autoZero"/>
        <c:auto val="1"/>
        <c:lblAlgn val="ctr"/>
        <c:lblOffset val="100"/>
        <c:noMultiLvlLbl val="0"/>
      </c:catAx>
      <c:valAx>
        <c:axId val="335106176"/>
        <c:scaling>
          <c:orientation val="minMax"/>
        </c:scaling>
        <c:delete val="1"/>
        <c:axPos val="l"/>
        <c:numFmt formatCode="General" sourceLinked="1"/>
        <c:majorTickMark val="out"/>
        <c:minorTickMark val="none"/>
        <c:tickLblPos val="nextTo"/>
        <c:crossAx val="335109704"/>
        <c:crosses val="autoZero"/>
        <c:crossBetween val="between"/>
      </c:valAx>
      <c:spPr>
        <a:solidFill>
          <a:schemeClr val="accent1">
            <a:lumMod val="20000"/>
            <a:lumOff val="80000"/>
          </a:schemeClr>
        </a:solidFill>
      </c:spPr>
    </c:plotArea>
    <c:legend>
      <c:legendPos val="r"/>
      <c:layout>
        <c:manualLayout>
          <c:xMode val="edge"/>
          <c:yMode val="edge"/>
          <c:x val="0.32350681774534279"/>
          <c:y val="0.88402704870224535"/>
          <c:w val="0.3357171906596324"/>
          <c:h val="0.11458442694663169"/>
        </c:manualLayout>
      </c:layout>
      <c:overlay val="0"/>
    </c:legend>
    <c:plotVisOnly val="1"/>
    <c:dispBlanksAs val="gap"/>
    <c:showDLblsOverMax val="0"/>
  </c:chart>
  <c:spPr>
    <a:solidFill>
      <a:schemeClr val="lt1"/>
    </a:solidFill>
    <a:ln w="25400" cap="flat" cmpd="sng" algn="ctr">
      <a:solidFill>
        <a:schemeClr val="accent1"/>
      </a:solidFill>
      <a:prstDash val="solid"/>
    </a:ln>
    <a:effectLst/>
  </c:spPr>
  <c:txPr>
    <a:bodyPr/>
    <a:lstStyle/>
    <a:p>
      <a:pPr>
        <a:defRPr>
          <a:solidFill>
            <a:schemeClr val="dk1"/>
          </a:solidFill>
          <a:latin typeface="+mn-lt"/>
          <a:ea typeface="+mn-ea"/>
          <a:cs typeface="+mn-cs"/>
        </a:defRPr>
      </a:pPr>
      <a:endParaRPr lang="cs-CZ"/>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1" u="none" strike="noStrike" kern="1200" spc="0" baseline="0">
                <a:solidFill>
                  <a:schemeClr val="dk1"/>
                </a:solidFill>
                <a:latin typeface="+mn-lt"/>
                <a:ea typeface="+mn-ea"/>
                <a:cs typeface="+mn-cs"/>
              </a:defRPr>
            </a:pPr>
            <a:r>
              <a:rPr lang="cs-CZ" sz="1000" i="1"/>
              <a:t>Vývoj počtů vojáků a vojákyň  - vybrané roky od vstupu do NATO (k 1. 1.)</a:t>
            </a:r>
          </a:p>
        </c:rich>
      </c:tx>
      <c:layout/>
      <c:overlay val="0"/>
      <c:spPr>
        <a:noFill/>
        <a:ln>
          <a:noFill/>
        </a:ln>
        <a:effectLst/>
      </c:spPr>
      <c:txPr>
        <a:bodyPr rot="0" spcFirstLastPara="1" vertOverflow="ellipsis" vert="horz" wrap="square" anchor="ctr" anchorCtr="1"/>
        <a:lstStyle/>
        <a:p>
          <a:pPr>
            <a:defRPr sz="1000" b="0" i="1" u="none" strike="noStrike" kern="1200" spc="0" baseline="0">
              <a:solidFill>
                <a:schemeClr val="dk1"/>
              </a:solidFill>
              <a:latin typeface="+mn-lt"/>
              <a:ea typeface="+mn-ea"/>
              <a:cs typeface="+mn-cs"/>
            </a:defRPr>
          </a:pPr>
          <a:endParaRPr lang="cs-CZ"/>
        </a:p>
      </c:txPr>
    </c:title>
    <c:autoTitleDeleted val="0"/>
    <c:plotArea>
      <c:layout>
        <c:manualLayout>
          <c:layoutTarget val="inner"/>
          <c:xMode val="edge"/>
          <c:yMode val="edge"/>
          <c:x val="2.7100271002710029E-2"/>
          <c:y val="0.11310185185185186"/>
          <c:w val="0.95072677999507249"/>
          <c:h val="0.67359543598716831"/>
        </c:manualLayout>
      </c:layout>
      <c:lineChart>
        <c:grouping val="standard"/>
        <c:varyColors val="0"/>
        <c:ser>
          <c:idx val="0"/>
          <c:order val="0"/>
          <c:tx>
            <c:strRef>
              <c:f>List1!$B$26</c:f>
              <c:strCache>
                <c:ptCount val="1"/>
                <c:pt idx="0">
                  <c:v>vojáci</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mn-lt"/>
                    <a:ea typeface="+mn-ea"/>
                    <a:cs typeface="+mn-cs"/>
                  </a:defRPr>
                </a:pPr>
                <a:endParaRPr lang="cs-CZ"/>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List1!$A$27:$A$41</c:f>
              <c:strCache>
                <c:ptCount val="15"/>
                <c:pt idx="0">
                  <c:v>1999   </c:v>
                </c:pt>
                <c:pt idx="1">
                  <c:v>2001   </c:v>
                </c:pt>
                <c:pt idx="2">
                  <c:v>2003  </c:v>
                </c:pt>
                <c:pt idx="3">
                  <c:v>2005   </c:v>
                </c:pt>
                <c:pt idx="4">
                  <c:v>2007   </c:v>
                </c:pt>
                <c:pt idx="5">
                  <c:v>2009   </c:v>
                </c:pt>
                <c:pt idx="6">
                  <c:v>2011   </c:v>
                </c:pt>
                <c:pt idx="7">
                  <c:v>2013</c:v>
                </c:pt>
                <c:pt idx="8">
                  <c:v>2014 </c:v>
                </c:pt>
                <c:pt idx="9">
                  <c:v>2016</c:v>
                </c:pt>
                <c:pt idx="10">
                  <c:v>2017</c:v>
                </c:pt>
                <c:pt idx="11">
                  <c:v>2018</c:v>
                </c:pt>
                <c:pt idx="12">
                  <c:v>2020</c:v>
                </c:pt>
                <c:pt idx="13">
                  <c:v>2022</c:v>
                </c:pt>
                <c:pt idx="14">
                  <c:v>2023</c:v>
                </c:pt>
              </c:strCache>
            </c:strRef>
          </c:cat>
          <c:val>
            <c:numRef>
              <c:f>List1!$B$27:$B$41</c:f>
              <c:numCache>
                <c:formatCode>General</c:formatCode>
                <c:ptCount val="15"/>
                <c:pt idx="0">
                  <c:v>20075</c:v>
                </c:pt>
                <c:pt idx="1">
                  <c:v>18970</c:v>
                </c:pt>
                <c:pt idx="2">
                  <c:v>21024</c:v>
                </c:pt>
                <c:pt idx="3">
                  <c:v>20276</c:v>
                </c:pt>
                <c:pt idx="4">
                  <c:v>21288</c:v>
                </c:pt>
                <c:pt idx="5">
                  <c:v>20037</c:v>
                </c:pt>
                <c:pt idx="6">
                  <c:v>18758</c:v>
                </c:pt>
                <c:pt idx="7">
                  <c:v>18748</c:v>
                </c:pt>
                <c:pt idx="8">
                  <c:v>18101</c:v>
                </c:pt>
                <c:pt idx="9">
                  <c:v>19096</c:v>
                </c:pt>
                <c:pt idx="10">
                  <c:v>20232</c:v>
                </c:pt>
                <c:pt idx="11">
                  <c:v>21163</c:v>
                </c:pt>
                <c:pt idx="12">
                  <c:v>22542</c:v>
                </c:pt>
                <c:pt idx="13">
                  <c:v>23239</c:v>
                </c:pt>
                <c:pt idx="14">
                  <c:v>23433</c:v>
                </c:pt>
              </c:numCache>
            </c:numRef>
          </c:val>
          <c:smooth val="0"/>
          <c:extLst xmlns:c16r2="http://schemas.microsoft.com/office/drawing/2015/06/chart">
            <c:ext xmlns:c16="http://schemas.microsoft.com/office/drawing/2014/chart" uri="{C3380CC4-5D6E-409C-BE32-E72D297353CC}">
              <c16:uniqueId val="{00000000-5575-4F62-8566-BA7FB932E4C2}"/>
            </c:ext>
          </c:extLst>
        </c:ser>
        <c:ser>
          <c:idx val="1"/>
          <c:order val="1"/>
          <c:tx>
            <c:strRef>
              <c:f>List1!$C$26</c:f>
              <c:strCache>
                <c:ptCount val="1"/>
                <c:pt idx="0">
                  <c:v>vojákyně</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mn-lt"/>
                    <a:ea typeface="+mn-ea"/>
                    <a:cs typeface="+mn-cs"/>
                  </a:defRPr>
                </a:pPr>
                <a:endParaRPr lang="cs-CZ"/>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List1!$A$27:$A$41</c:f>
              <c:strCache>
                <c:ptCount val="15"/>
                <c:pt idx="0">
                  <c:v>1999   </c:v>
                </c:pt>
                <c:pt idx="1">
                  <c:v>2001   </c:v>
                </c:pt>
                <c:pt idx="2">
                  <c:v>2003  </c:v>
                </c:pt>
                <c:pt idx="3">
                  <c:v>2005   </c:v>
                </c:pt>
                <c:pt idx="4">
                  <c:v>2007   </c:v>
                </c:pt>
                <c:pt idx="5">
                  <c:v>2009   </c:v>
                </c:pt>
                <c:pt idx="6">
                  <c:v>2011   </c:v>
                </c:pt>
                <c:pt idx="7">
                  <c:v>2013</c:v>
                </c:pt>
                <c:pt idx="8">
                  <c:v>2014 </c:v>
                </c:pt>
                <c:pt idx="9">
                  <c:v>2016</c:v>
                </c:pt>
                <c:pt idx="10">
                  <c:v>2017</c:v>
                </c:pt>
                <c:pt idx="11">
                  <c:v>2018</c:v>
                </c:pt>
                <c:pt idx="12">
                  <c:v>2020</c:v>
                </c:pt>
                <c:pt idx="13">
                  <c:v>2022</c:v>
                </c:pt>
                <c:pt idx="14">
                  <c:v>2023</c:v>
                </c:pt>
              </c:strCache>
            </c:strRef>
          </c:cat>
          <c:val>
            <c:numRef>
              <c:f>List1!$C$27:$C$41</c:f>
              <c:numCache>
                <c:formatCode>General</c:formatCode>
                <c:ptCount val="15"/>
                <c:pt idx="0">
                  <c:v>1695</c:v>
                </c:pt>
                <c:pt idx="1">
                  <c:v>1918</c:v>
                </c:pt>
                <c:pt idx="2">
                  <c:v>2277</c:v>
                </c:pt>
                <c:pt idx="3">
                  <c:v>2786</c:v>
                </c:pt>
                <c:pt idx="4">
                  <c:v>3001</c:v>
                </c:pt>
                <c:pt idx="5">
                  <c:v>3141</c:v>
                </c:pt>
                <c:pt idx="6">
                  <c:v>3024</c:v>
                </c:pt>
                <c:pt idx="7">
                  <c:v>2985</c:v>
                </c:pt>
                <c:pt idx="8">
                  <c:v>2910</c:v>
                </c:pt>
                <c:pt idx="9">
                  <c:v>2874</c:v>
                </c:pt>
                <c:pt idx="10">
                  <c:v>2952</c:v>
                </c:pt>
                <c:pt idx="11">
                  <c:v>3088</c:v>
                </c:pt>
                <c:pt idx="12">
                  <c:v>3357</c:v>
                </c:pt>
                <c:pt idx="13">
                  <c:v>3689</c:v>
                </c:pt>
                <c:pt idx="14">
                  <c:v>3764</c:v>
                </c:pt>
              </c:numCache>
            </c:numRef>
          </c:val>
          <c:smooth val="0"/>
          <c:extLst xmlns:c16r2="http://schemas.microsoft.com/office/drawing/2015/06/chart">
            <c:ext xmlns:c16="http://schemas.microsoft.com/office/drawing/2014/chart" uri="{C3380CC4-5D6E-409C-BE32-E72D297353CC}">
              <c16:uniqueId val="{00000001-5575-4F62-8566-BA7FB932E4C2}"/>
            </c:ext>
          </c:extLst>
        </c:ser>
        <c:dLbls>
          <c:dLblPos val="t"/>
          <c:showLegendKey val="0"/>
          <c:showVal val="1"/>
          <c:showCatName val="0"/>
          <c:showSerName val="0"/>
          <c:showPercent val="0"/>
          <c:showBubbleSize val="0"/>
        </c:dLbls>
        <c:marker val="1"/>
        <c:smooth val="0"/>
        <c:axId val="335106568"/>
        <c:axId val="335108136"/>
      </c:lineChart>
      <c:catAx>
        <c:axId val="335106568"/>
        <c:scaling>
          <c:orientation val="minMax"/>
        </c:scaling>
        <c:delete val="0"/>
        <c:axPos val="b"/>
        <c:numFmt formatCode="General" sourceLinked="1"/>
        <c:majorTickMark val="out"/>
        <c:minorTickMark val="none"/>
        <c:tickLblPos val="nextTo"/>
        <c:spPr>
          <a:noFill/>
          <a:ln w="9525" cap="flat" cmpd="sng" algn="ctr">
            <a:solidFill>
              <a:schemeClr val="accent1"/>
            </a:solidFill>
            <a:round/>
          </a:ln>
          <a:effectLst/>
        </c:spPr>
        <c:txPr>
          <a:bodyPr rot="-60000000" spcFirstLastPara="1" vertOverflow="ellipsis" vert="horz" wrap="square" anchor="ctr" anchorCtr="1"/>
          <a:lstStyle/>
          <a:p>
            <a:pPr>
              <a:defRPr sz="900" b="1" i="0" u="none" strike="noStrike" kern="1200" baseline="0">
                <a:solidFill>
                  <a:schemeClr val="dk1"/>
                </a:solidFill>
                <a:latin typeface="+mn-lt"/>
                <a:ea typeface="+mn-ea"/>
                <a:cs typeface="+mn-cs"/>
              </a:defRPr>
            </a:pPr>
            <a:endParaRPr lang="cs-CZ"/>
          </a:p>
        </c:txPr>
        <c:crossAx val="335108136"/>
        <c:crosses val="autoZero"/>
        <c:auto val="1"/>
        <c:lblAlgn val="ctr"/>
        <c:lblOffset val="100"/>
        <c:noMultiLvlLbl val="0"/>
      </c:catAx>
      <c:valAx>
        <c:axId val="335108136"/>
        <c:scaling>
          <c:orientation val="minMax"/>
        </c:scaling>
        <c:delete val="1"/>
        <c:axPos val="l"/>
        <c:numFmt formatCode="General" sourceLinked="1"/>
        <c:majorTickMark val="out"/>
        <c:minorTickMark val="none"/>
        <c:tickLblPos val="nextTo"/>
        <c:crossAx val="33510656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cs-CZ"/>
        </a:p>
      </c:txPr>
    </c:legend>
    <c:plotVisOnly val="1"/>
    <c:dispBlanksAs val="gap"/>
    <c:showDLblsOverMax val="0"/>
  </c:chart>
  <c:spPr>
    <a:solidFill>
      <a:schemeClr val="accent3">
        <a:lumMod val="20000"/>
        <a:lumOff val="80000"/>
      </a:schemeClr>
    </a:solidFill>
    <a:ln w="25400" cap="flat" cmpd="sng" algn="ctr">
      <a:solidFill>
        <a:schemeClr val="accent3"/>
      </a:solidFill>
      <a:prstDash val="solid"/>
      <a:round/>
    </a:ln>
    <a:effectLst/>
  </c:spPr>
  <c:txPr>
    <a:bodyPr/>
    <a:lstStyle/>
    <a:p>
      <a:pPr>
        <a:defRPr>
          <a:solidFill>
            <a:schemeClr val="dk1"/>
          </a:solidFill>
          <a:latin typeface="+mn-lt"/>
          <a:ea typeface="+mn-ea"/>
          <a:cs typeface="+mn-cs"/>
        </a:defRPr>
      </a:pPr>
      <a:endParaRPr lang="cs-CZ"/>
    </a:p>
  </c:txPr>
  <c:externalData r:id="rId4">
    <c:autoUpdate val="0"/>
  </c:externalData>
</c:chartSpace>
</file>

<file path=word/charts/colors1.xml><?xml version="1.0" encoding="utf-8"?>
<cs:colorStyle xmlns:cs="http://schemas.microsoft.com/office/drawing/2012/chartStyle" xmlns:a="http://schemas.openxmlformats.org/drawingml/2006/main" meth="withinLinear" id="19">
  <a:schemeClr val="accent6"/>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FD62E-842F-46B2-9B6B-01FAC5018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8198</Words>
  <Characters>48371</Characters>
  <Application>Microsoft Office Word</Application>
  <DocSecurity>0</DocSecurity>
  <Lines>403</Lines>
  <Paragraphs>112</Paragraphs>
  <ScaleCrop>false</ScaleCrop>
  <HeadingPairs>
    <vt:vector size="2" baseType="variant">
      <vt:variant>
        <vt:lpstr>Název</vt:lpstr>
      </vt:variant>
      <vt:variant>
        <vt:i4>1</vt:i4>
      </vt:variant>
    </vt:vector>
  </HeadingPairs>
  <TitlesOfParts>
    <vt:vector size="1" baseType="lpstr">
      <vt:lpstr/>
    </vt:vector>
  </TitlesOfParts>
  <Company>MZV ČR</Company>
  <LinksUpToDate>false</LinksUpToDate>
  <CharactersWithSpaces>56457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DRAHOŇOVSKÁ Simona</dc:creator>
  <cp:keywords/>
  <dc:description/>
  <cp:lastModifiedBy>Jonitová Bronislava - MO 7542 - ŠIS AČR</cp:lastModifiedBy>
  <cp:revision>2</cp:revision>
  <cp:lastPrinted>2023-06-08T08:54:00Z</cp:lastPrinted>
  <dcterms:created xsi:type="dcterms:W3CDTF">2023-10-25T05:49:00Z</dcterms:created>
  <dcterms:modified xsi:type="dcterms:W3CDTF">2023-10-25T05:49:00Z</dcterms:modified>
</cp:coreProperties>
</file>