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00" w:rsidRDefault="00086A00" w:rsidP="00086A00">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both"/>
        <w:rPr>
          <w:rStyle w:val="None"/>
          <w:b/>
          <w:bCs/>
        </w:rPr>
      </w:pPr>
    </w:p>
    <w:p w:rsidR="00086A00" w:rsidRDefault="00086A00" w:rsidP="00086A00">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center"/>
        <w:outlineLvl w:val="0"/>
        <w:rPr>
          <w:rStyle w:val="None"/>
          <w:b/>
          <w:bCs/>
          <w:sz w:val="48"/>
          <w:szCs w:val="48"/>
        </w:rPr>
      </w:pPr>
      <w:r>
        <w:rPr>
          <w:rStyle w:val="None"/>
          <w:b/>
          <w:bCs/>
          <w:sz w:val="48"/>
          <w:szCs w:val="48"/>
        </w:rPr>
        <w:t>TISKOVÉ ODDĚLENÍ</w:t>
      </w:r>
    </w:p>
    <w:p w:rsidR="00086A00" w:rsidRDefault="00086A00" w:rsidP="00086A00">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center"/>
        <w:outlineLvl w:val="0"/>
        <w:rPr>
          <w:rStyle w:val="None"/>
          <w:b/>
          <w:bCs/>
          <w:sz w:val="32"/>
          <w:szCs w:val="32"/>
        </w:rPr>
      </w:pPr>
      <w:r>
        <w:rPr>
          <w:rStyle w:val="None"/>
          <w:b/>
          <w:bCs/>
          <w:sz w:val="32"/>
          <w:szCs w:val="32"/>
        </w:rPr>
        <w:t>MINISTERSTVA OBRANY ČESKÉ REPUBLIKY</w:t>
      </w:r>
    </w:p>
    <w:p w:rsidR="00086A00" w:rsidRDefault="00086A00" w:rsidP="00086A00">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center"/>
        <w:rPr>
          <w:rStyle w:val="None"/>
          <w:b/>
          <w:bCs/>
          <w:sz w:val="24"/>
          <w:szCs w:val="24"/>
        </w:rPr>
      </w:pPr>
    </w:p>
    <w:p w:rsidR="00086A00" w:rsidRDefault="00086A00" w:rsidP="00086A00">
      <w:pPr>
        <w:spacing w:line="276" w:lineRule="auto"/>
        <w:jc w:val="both"/>
        <w:rPr>
          <w:rStyle w:val="None"/>
          <w:b/>
          <w:bCs/>
          <w:color w:val="FF0000"/>
          <w:sz w:val="24"/>
          <w:szCs w:val="24"/>
          <w:u w:color="FF0000"/>
        </w:rPr>
      </w:pPr>
    </w:p>
    <w:p w:rsidR="00086A00" w:rsidRDefault="00086A00" w:rsidP="00086A00">
      <w:pPr>
        <w:spacing w:line="276" w:lineRule="auto"/>
        <w:jc w:val="both"/>
        <w:rPr>
          <w:rStyle w:val="None"/>
          <w:b/>
          <w:bCs/>
          <w:sz w:val="24"/>
          <w:szCs w:val="24"/>
        </w:rPr>
      </w:pPr>
      <w:r>
        <w:rPr>
          <w:rStyle w:val="None"/>
          <w:b/>
          <w:bCs/>
          <w:sz w:val="24"/>
          <w:szCs w:val="24"/>
        </w:rPr>
        <w:t xml:space="preserve">Datum: </w:t>
      </w:r>
      <w:r w:rsidR="00C46013">
        <w:rPr>
          <w:rStyle w:val="None"/>
          <w:sz w:val="24"/>
          <w:szCs w:val="24"/>
        </w:rPr>
        <w:t>20</w:t>
      </w:r>
      <w:r>
        <w:rPr>
          <w:rStyle w:val="None"/>
          <w:sz w:val="24"/>
          <w:szCs w:val="24"/>
        </w:rPr>
        <w:t>. června 2022</w:t>
      </w:r>
    </w:p>
    <w:p w:rsidR="00086A00" w:rsidRPr="00086A00" w:rsidRDefault="00086A00" w:rsidP="00086A00">
      <w:pPr>
        <w:spacing w:line="276" w:lineRule="auto"/>
        <w:jc w:val="both"/>
        <w:rPr>
          <w:rStyle w:val="None"/>
          <w:b/>
          <w:bCs/>
          <w:sz w:val="24"/>
          <w:szCs w:val="24"/>
        </w:rPr>
      </w:pPr>
      <w:r w:rsidRPr="00086A00">
        <w:rPr>
          <w:rStyle w:val="None"/>
          <w:b/>
          <w:bCs/>
          <w:sz w:val="24"/>
          <w:szCs w:val="24"/>
        </w:rPr>
        <w:t xml:space="preserve">Téma: </w:t>
      </w:r>
      <w:bookmarkStart w:id="0" w:name="_GoBack"/>
      <w:r w:rsidR="00C46013" w:rsidRPr="00C46013">
        <w:rPr>
          <w:rStyle w:val="None"/>
          <w:b/>
          <w:bCs/>
          <w:sz w:val="24"/>
          <w:szCs w:val="24"/>
        </w:rPr>
        <w:t>České a slovenské ministerstvo obrany pokračují ve spolupráci v oblasti rekreačních pobytů</w:t>
      </w:r>
      <w:bookmarkEnd w:id="0"/>
    </w:p>
    <w:p w:rsidR="00086A00" w:rsidRDefault="00086A00" w:rsidP="00086A00">
      <w:pPr>
        <w:pStyle w:val="Bezmezer"/>
        <w:spacing w:line="276" w:lineRule="auto"/>
        <w:jc w:val="both"/>
        <w:rPr>
          <w:rStyle w:val="None"/>
          <w:sz w:val="24"/>
          <w:szCs w:val="24"/>
        </w:rPr>
      </w:pPr>
      <w:r>
        <w:rPr>
          <w:rStyle w:val="None"/>
          <w:noProof/>
          <w:sz w:val="24"/>
          <w:szCs w:val="24"/>
        </w:rPr>
        <mc:AlternateContent>
          <mc:Choice Requires="wps">
            <w:drawing>
              <wp:anchor distT="0" distB="0" distL="0" distR="0" simplePos="0" relativeHeight="251659264" behindDoc="0" locked="0" layoutInCell="1" allowOverlap="1" wp14:anchorId="6BC1D844" wp14:editId="06929ECB">
                <wp:simplePos x="0" y="0"/>
                <wp:positionH relativeFrom="column">
                  <wp:posOffset>4127</wp:posOffset>
                </wp:positionH>
                <wp:positionV relativeFrom="line">
                  <wp:posOffset>49212</wp:posOffset>
                </wp:positionV>
                <wp:extent cx="5943600" cy="0"/>
                <wp:effectExtent l="0" t="0" r="0" b="0"/>
                <wp:wrapNone/>
                <wp:docPr id="1073741825" name="officeArt object" descr="Line"/>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a:solidFill>
                            <a:srgbClr val="000000"/>
                          </a:solidFill>
                          <a:prstDash val="solid"/>
                          <a:round/>
                        </a:ln>
                        <a:effectLst/>
                      </wps:spPr>
                      <wps:bodyPr/>
                    </wps:wsp>
                  </a:graphicData>
                </a:graphic>
              </wp:anchor>
            </w:drawing>
          </mc:Choice>
          <mc:Fallback>
            <w:pict>
              <v:line w14:anchorId="025072CA"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3pt,3.85pt" to="468.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">
                <w10:wrap anchory="line"/>
              </v:line>
            </w:pict>
          </mc:Fallback>
        </mc:AlternateContent>
      </w:r>
    </w:p>
    <w:p w:rsidR="00C46013" w:rsidRP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r w:rsidRPr="00C46013">
        <w:rPr>
          <w:rStyle w:val="None"/>
          <w:rFonts w:eastAsia="Arial Unicode MS" w:cs="Arial Unicode MS"/>
          <w:sz w:val="24"/>
          <w:szCs w:val="24"/>
          <w14:textOutline w14:w="0" w14:cap="flat" w14:cmpd="sng" w14:algn="ctr">
            <w14:noFill/>
            <w14:prstDash w14:val="solid"/>
            <w14:bevel/>
          </w14:textOutline>
        </w:rPr>
        <w:t xml:space="preserve">V pondělí 20. června 2022 uzavřeli v Bratislavě zástupci Ministerstev obrany České a Slovenské republiky prodloužení vzájemné spolupráce umožňující spolupráci v oblasti výměnných rekreačních pobytů mezi příslušníky obou obranných resortů. Za českou stranu dohodu podepsal náměstek pro řízení sekce majetkové MO Filip Říha, za slovenskou to byl generální ředitel sekce lidských zdrojů MO Martin </w:t>
      </w:r>
      <w:proofErr w:type="spellStart"/>
      <w:r w:rsidRPr="00C46013">
        <w:rPr>
          <w:rStyle w:val="None"/>
          <w:rFonts w:eastAsia="Arial Unicode MS" w:cs="Arial Unicode MS"/>
          <w:sz w:val="24"/>
          <w:szCs w:val="24"/>
          <w14:textOutline w14:w="0" w14:cap="flat" w14:cmpd="sng" w14:algn="ctr">
            <w14:noFill/>
            <w14:prstDash w14:val="solid"/>
            <w14:bevel/>
          </w14:textOutline>
        </w:rPr>
        <w:t>Jakál</w:t>
      </w:r>
      <w:proofErr w:type="spellEnd"/>
      <w:r w:rsidRPr="00C46013">
        <w:rPr>
          <w:rStyle w:val="None"/>
          <w:rFonts w:eastAsia="Arial Unicode MS" w:cs="Arial Unicode MS"/>
          <w:sz w:val="24"/>
          <w:szCs w:val="24"/>
          <w14:textOutline w14:w="0" w14:cap="flat" w14:cmpd="sng" w14:algn="ctr">
            <w14:noFill/>
            <w14:prstDash w14:val="solid"/>
            <w14:bevel/>
          </w14:textOutline>
        </w:rPr>
        <w:t>.</w:t>
      </w: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P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r w:rsidRPr="00C46013">
        <w:rPr>
          <w:rStyle w:val="None"/>
          <w:rFonts w:eastAsia="Arial Unicode MS" w:cs="Arial Unicode MS"/>
          <w:sz w:val="24"/>
          <w:szCs w:val="24"/>
          <w14:textOutline w14:w="0" w14:cap="flat" w14:cmpd="sng" w14:algn="ctr">
            <w14:noFill/>
            <w14:prstDash w14:val="solid"/>
            <w14:bevel/>
          </w14:textOutline>
        </w:rPr>
        <w:t xml:space="preserve">„Prodloužení dohody umožní našim vojákům a dalším oprávněným osobám z resortu i nadále využívat nabídky výměnných pobytů se zajímavým kulturním a poznávacím programem v lokalitách Vysokých Tater, Velké Fatry a lázeňského města Piešťany,“ uvedl náměstek Říha s tím, že obě země pokračují ve spolupráci, která trvá již od roku 1996, tedy více než 25 let. </w:t>
      </w: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P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r w:rsidRPr="00C46013">
        <w:rPr>
          <w:rStyle w:val="None"/>
          <w:rFonts w:eastAsia="Arial Unicode MS" w:cs="Arial Unicode MS"/>
          <w:sz w:val="24"/>
          <w:szCs w:val="24"/>
          <w14:textOutline w14:w="0" w14:cap="flat" w14:cmpd="sng" w14:algn="ctr">
            <w14:noFill/>
            <w14:prstDash w14:val="solid"/>
            <w14:bevel/>
          </w14:textOutline>
        </w:rPr>
        <w:t xml:space="preserve">V rámci České republiky pobyty komplexně zajišťují Vojenská lázeňská a rekreační zařízení, příspěvková organizace (VLRZ, </w:t>
      </w:r>
      <w:proofErr w:type="spellStart"/>
      <w:proofErr w:type="gramStart"/>
      <w:r w:rsidRPr="00C46013">
        <w:rPr>
          <w:rStyle w:val="None"/>
          <w:rFonts w:eastAsia="Arial Unicode MS" w:cs="Arial Unicode MS"/>
          <w:sz w:val="24"/>
          <w:szCs w:val="24"/>
          <w14:textOutline w14:w="0" w14:cap="flat" w14:cmpd="sng" w14:algn="ctr">
            <w14:noFill/>
            <w14:prstDash w14:val="solid"/>
            <w14:bevel/>
          </w14:textOutline>
        </w:rPr>
        <w:t>p.o</w:t>
      </w:r>
      <w:proofErr w:type="spellEnd"/>
      <w:r w:rsidRPr="00C46013">
        <w:rPr>
          <w:rStyle w:val="None"/>
          <w:rFonts w:eastAsia="Arial Unicode MS" w:cs="Arial Unicode MS"/>
          <w:sz w:val="24"/>
          <w:szCs w:val="24"/>
          <w14:textOutline w14:w="0" w14:cap="flat" w14:cmpd="sng" w14:algn="ctr">
            <w14:noFill/>
            <w14:prstDash w14:val="solid"/>
            <w14:bevel/>
          </w14:textOutline>
        </w:rPr>
        <w:t>.</w:t>
      </w:r>
      <w:proofErr w:type="gramEnd"/>
      <w:r w:rsidRPr="00C46013">
        <w:rPr>
          <w:rStyle w:val="None"/>
          <w:rFonts w:eastAsia="Arial Unicode MS" w:cs="Arial Unicode MS"/>
          <w:sz w:val="24"/>
          <w:szCs w:val="24"/>
          <w14:textOutline w14:w="0" w14:cap="flat" w14:cmpd="sng" w14:algn="ctr">
            <w14:noFill/>
            <w14:prstDash w14:val="solid"/>
            <w14:bevel/>
          </w14:textOutline>
        </w:rPr>
        <w:t xml:space="preserve">), na Slovensku se o české účastníky stará HOREZZA, a.s., tamní obdoba české organizace. V rámci Ministerstva obrany ČR je služba určena primárně pro vojáky v aktivní službě. V případě volných kapacit je ale služba nabízena i dalším osobám, které jsou oprávněny ji využít. </w:t>
      </w: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P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r w:rsidRPr="00C46013">
        <w:rPr>
          <w:rStyle w:val="None"/>
          <w:rFonts w:eastAsia="Arial Unicode MS" w:cs="Arial Unicode MS"/>
          <w:sz w:val="24"/>
          <w:szCs w:val="24"/>
          <w14:textOutline w14:w="0" w14:cap="flat" w14:cmpd="sng" w14:algn="ctr">
            <w14:noFill/>
            <w14:prstDash w14:val="solid"/>
            <w14:bevel/>
          </w14:textOutline>
        </w:rPr>
        <w:t xml:space="preserve">Účastníci ze Slovenska budou moci každoročně v průběhu letních měsíců zpravidla července a srpna navštěvovat VZ Měřín, VLL Karlovy Vary hotel </w:t>
      </w:r>
      <w:proofErr w:type="spellStart"/>
      <w:r w:rsidRPr="00C46013">
        <w:rPr>
          <w:rStyle w:val="None"/>
          <w:rFonts w:eastAsia="Arial Unicode MS" w:cs="Arial Unicode MS"/>
          <w:sz w:val="24"/>
          <w:szCs w:val="24"/>
          <w14:textOutline w14:w="0" w14:cap="flat" w14:cmpd="sng" w14:algn="ctr">
            <w14:noFill/>
            <w14:prstDash w14:val="solid"/>
            <w14:bevel/>
          </w14:textOutline>
        </w:rPr>
        <w:t>Bellevue</w:t>
      </w:r>
      <w:proofErr w:type="spellEnd"/>
      <w:r w:rsidRPr="00C46013">
        <w:rPr>
          <w:rStyle w:val="None"/>
          <w:rFonts w:eastAsia="Arial Unicode MS" w:cs="Arial Unicode MS"/>
          <w:sz w:val="24"/>
          <w:szCs w:val="24"/>
          <w14:textOutline w14:w="0" w14:cap="flat" w14:cmpd="sng" w14:algn="ctr">
            <w14:noFill/>
            <w14:prstDash w14:val="solid"/>
            <w14:bevel/>
          </w14:textOutline>
        </w:rPr>
        <w:t xml:space="preserve"> a VZ Dyje. Pro české účastníky jsou připraveny pobyty v hotelech Granit v Piešťanech, Tatranských </w:t>
      </w:r>
      <w:proofErr w:type="spellStart"/>
      <w:r w:rsidRPr="00C46013">
        <w:rPr>
          <w:rStyle w:val="None"/>
          <w:rFonts w:eastAsia="Arial Unicode MS" w:cs="Arial Unicode MS"/>
          <w:sz w:val="24"/>
          <w:szCs w:val="24"/>
          <w14:textOutline w14:w="0" w14:cap="flat" w14:cmpd="sng" w14:algn="ctr">
            <w14:noFill/>
            <w14:prstDash w14:val="solid"/>
            <w14:bevel/>
          </w14:textOutline>
        </w:rPr>
        <w:t>Zrubech</w:t>
      </w:r>
      <w:proofErr w:type="spellEnd"/>
      <w:r w:rsidRPr="00C46013">
        <w:rPr>
          <w:rStyle w:val="None"/>
          <w:rFonts w:eastAsia="Arial Unicode MS" w:cs="Arial Unicode MS"/>
          <w:sz w:val="24"/>
          <w:szCs w:val="24"/>
          <w14:textOutline w14:w="0" w14:cap="flat" w14:cmpd="sng" w14:algn="ctr">
            <w14:noFill/>
            <w14:prstDash w14:val="solid"/>
            <w14:bevel/>
          </w14:textOutline>
        </w:rPr>
        <w:t xml:space="preserve"> a </w:t>
      </w:r>
      <w:proofErr w:type="spellStart"/>
      <w:r w:rsidRPr="00C46013">
        <w:rPr>
          <w:rStyle w:val="None"/>
          <w:rFonts w:eastAsia="Arial Unicode MS" w:cs="Arial Unicode MS"/>
          <w:sz w:val="24"/>
          <w:szCs w:val="24"/>
          <w14:textOutline w14:w="0" w14:cap="flat" w14:cmpd="sng" w14:algn="ctr">
            <w14:noFill/>
            <w14:prstDash w14:val="solid"/>
            <w14:bevel/>
          </w14:textOutline>
        </w:rPr>
        <w:t>Smrekovici</w:t>
      </w:r>
      <w:proofErr w:type="spellEnd"/>
      <w:r w:rsidRPr="00C46013">
        <w:rPr>
          <w:rStyle w:val="None"/>
          <w:rFonts w:eastAsia="Arial Unicode MS" w:cs="Arial Unicode MS"/>
          <w:sz w:val="24"/>
          <w:szCs w:val="24"/>
          <w14:textOutline w14:w="0" w14:cap="flat" w14:cmpd="sng" w14:algn="ctr">
            <w14:noFill/>
            <w14:prstDash w14:val="solid"/>
            <w14:bevel/>
          </w14:textOutline>
        </w:rPr>
        <w:t xml:space="preserve">. </w:t>
      </w: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P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r w:rsidRPr="00C46013">
        <w:rPr>
          <w:rStyle w:val="None"/>
          <w:rFonts w:eastAsia="Arial Unicode MS" w:cs="Arial Unicode MS"/>
          <w:sz w:val="24"/>
          <w:szCs w:val="24"/>
          <w14:textOutline w14:w="0" w14:cap="flat" w14:cmpd="sng" w14:algn="ctr">
            <w14:noFill/>
            <w14:prstDash w14:val="solid"/>
            <w14:bevel/>
          </w14:textOutline>
        </w:rPr>
        <w:t xml:space="preserve">„Jde o léty prověřenou spolupráci, díky které si vzájemně rozšiřujeme portfolio rekreačních možností. Jsme proto rád, že tyto ceněné benefity bude moci náš personál využívat i nadále, uvedl </w:t>
      </w:r>
      <w:r>
        <w:rPr>
          <w:rStyle w:val="None"/>
          <w:rFonts w:eastAsia="Arial Unicode MS" w:cs="Arial Unicode MS"/>
          <w:sz w:val="24"/>
          <w:szCs w:val="24"/>
          <w14:textOutline w14:w="0" w14:cap="flat" w14:cmpd="sng" w14:algn="ctr">
            <w14:noFill/>
            <w14:prstDash w14:val="solid"/>
            <w14:bevel/>
          </w14:textOutline>
        </w:rPr>
        <w:t xml:space="preserve">generální </w:t>
      </w:r>
      <w:r w:rsidRPr="00C46013">
        <w:rPr>
          <w:rStyle w:val="None"/>
          <w:rFonts w:eastAsia="Arial Unicode MS" w:cs="Arial Unicode MS"/>
          <w:sz w:val="24"/>
          <w:szCs w:val="24"/>
          <w14:textOutline w14:w="0" w14:cap="flat" w14:cmpd="sng" w14:algn="ctr">
            <w14:noFill/>
            <w14:prstDash w14:val="solid"/>
            <w14:bevel/>
          </w14:textOutline>
        </w:rPr>
        <w:t xml:space="preserve">ředitel sekce lidských zdrojů </w:t>
      </w:r>
      <w:r>
        <w:rPr>
          <w:rStyle w:val="None"/>
          <w:rFonts w:eastAsia="Arial Unicode MS" w:cs="Arial Unicode MS"/>
          <w:sz w:val="24"/>
          <w:szCs w:val="24"/>
          <w14:textOutline w14:w="0" w14:cap="flat" w14:cmpd="sng" w14:algn="ctr">
            <w14:noFill/>
            <w14:prstDash w14:val="solid"/>
            <w14:bevel/>
          </w14:textOutline>
        </w:rPr>
        <w:t xml:space="preserve">slovenského MO </w:t>
      </w:r>
      <w:proofErr w:type="spellStart"/>
      <w:r>
        <w:rPr>
          <w:rStyle w:val="None"/>
          <w:rFonts w:eastAsia="Arial Unicode MS" w:cs="Arial Unicode MS"/>
          <w:sz w:val="24"/>
          <w:szCs w:val="24"/>
          <w14:textOutline w14:w="0" w14:cap="flat" w14:cmpd="sng" w14:algn="ctr">
            <w14:noFill/>
            <w14:prstDash w14:val="solid"/>
            <w14:bevel/>
          </w14:textOutline>
        </w:rPr>
        <w:t>Jakál</w:t>
      </w:r>
      <w:proofErr w:type="spellEnd"/>
      <w:r>
        <w:rPr>
          <w:rStyle w:val="None"/>
          <w:rFonts w:eastAsia="Arial Unicode MS" w:cs="Arial Unicode MS"/>
          <w:sz w:val="24"/>
          <w:szCs w:val="24"/>
          <w14:textOutline w14:w="0" w14:cap="flat" w14:cmpd="sng" w14:algn="ctr">
            <w14:noFill/>
            <w14:prstDash w14:val="solid"/>
            <w14:bevel/>
          </w14:textOutline>
        </w:rPr>
        <w:t>.</w:t>
      </w: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P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r w:rsidRPr="00C46013">
        <w:rPr>
          <w:rStyle w:val="None"/>
          <w:rFonts w:eastAsia="Arial Unicode MS" w:cs="Arial Unicode MS"/>
          <w:sz w:val="24"/>
          <w:szCs w:val="24"/>
          <w14:textOutline w14:w="0" w14:cap="flat" w14:cmpd="sng" w14:algn="ctr">
            <w14:noFill/>
            <w14:prstDash w14:val="solid"/>
            <w14:bevel/>
          </w14:textOutline>
        </w:rPr>
        <w:t xml:space="preserve">Uzavřená dohoda každoročně umožní výměnné rekreační pobyty pro více než 100 osob. Tyto pobyty fungují na principu reciprocity tedy tak, že musí proběhnout stejný počet slovenských rekreací v Česku jako českých rekreací na Slovensku. Jinak řečeno to vlastně znamená, že si platí Češi a Slováci své pobyty navzájem. </w:t>
      </w: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753F7A"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r w:rsidRPr="00C46013">
        <w:rPr>
          <w:rStyle w:val="None"/>
          <w:rFonts w:eastAsia="Arial Unicode MS" w:cs="Arial Unicode MS"/>
          <w:sz w:val="24"/>
          <w:szCs w:val="24"/>
          <w14:textOutline w14:w="0" w14:cap="flat" w14:cmpd="sng" w14:algn="ctr">
            <w14:noFill/>
            <w14:prstDash w14:val="solid"/>
            <w14:bevel/>
          </w14:textOutline>
        </w:rPr>
        <w:t xml:space="preserve">Účastníci obou zemí hradí za účast na rekreaci cenu, která je stanovena pro rekreační pobyt v rámci sociální politiky resortu na území jejich státu. Rekreace jsou koncepčně postaveny jako </w:t>
      </w:r>
      <w:r w:rsidRPr="00C46013">
        <w:rPr>
          <w:rStyle w:val="None"/>
          <w:rFonts w:eastAsia="Arial Unicode MS" w:cs="Arial Unicode MS"/>
          <w:sz w:val="24"/>
          <w:szCs w:val="24"/>
          <w14:textOutline w14:w="0" w14:cap="flat" w14:cmpd="sng" w14:algn="ctr">
            <w14:noFill/>
            <w14:prstDash w14:val="solid"/>
            <w14:bevel/>
          </w14:textOutline>
        </w:rPr>
        <w:lastRenderedPageBreak/>
        <w:t>týdenní pobytové poukazy s převážným určením pro manželské páry. V nabídce jsou, ale zastoupeny i pobyty pro rodiny s dětmi. V ceně každého pobytu je zahrnuto také několik výletů do zajímavých turistických lokalit v okolí ubytovacího zařízení, kde je služba poskytována.</w:t>
      </w: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Default="00C46013" w:rsidP="00C46013">
      <w:pPr>
        <w:spacing w:line="276" w:lineRule="auto"/>
        <w:jc w:val="both"/>
        <w:rPr>
          <w:rStyle w:val="None"/>
          <w:rFonts w:eastAsia="Arial Unicode MS" w:cs="Arial Unicode MS"/>
          <w:sz w:val="24"/>
          <w:szCs w:val="24"/>
          <w14:textOutline w14:w="0" w14:cap="flat" w14:cmpd="sng" w14:algn="ctr">
            <w14:noFill/>
            <w14:prstDash w14:val="solid"/>
            <w14:bevel/>
          </w14:textOutline>
        </w:rPr>
      </w:pPr>
    </w:p>
    <w:p w:rsidR="00C46013" w:rsidRPr="00C46013" w:rsidRDefault="00C46013" w:rsidP="00C46013">
      <w:pPr>
        <w:spacing w:line="276" w:lineRule="auto"/>
        <w:jc w:val="both"/>
        <w:rPr>
          <w:b/>
        </w:rPr>
      </w:pPr>
      <w:r w:rsidRPr="00C46013">
        <w:rPr>
          <w:rStyle w:val="None"/>
          <w:rFonts w:eastAsia="Arial Unicode MS" w:cs="Arial Unicode MS"/>
          <w:b/>
          <w:sz w:val="24"/>
          <w:szCs w:val="24"/>
          <w14:textOutline w14:w="0" w14:cap="flat" w14:cmpd="sng" w14:algn="ctr">
            <w14:noFill/>
            <w14:prstDash w14:val="solid"/>
            <w14:bevel/>
          </w14:textOutline>
        </w:rPr>
        <w:t>Marek Vala, tiskové oddělení MO</w:t>
      </w:r>
    </w:p>
    <w:sectPr w:rsidR="00C46013" w:rsidRPr="00C46013">
      <w:footerReference w:type="default" r:id="rId6"/>
      <w:pgSz w:w="11900" w:h="16840"/>
      <w:pgMar w:top="1418" w:right="1418" w:bottom="1418" w:left="1418" w:header="708" w:footer="5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7E" w:rsidRDefault="00BC587E">
      <w:r>
        <w:separator/>
      </w:r>
    </w:p>
  </w:endnote>
  <w:endnote w:type="continuationSeparator" w:id="0">
    <w:p w:rsidR="00BC587E" w:rsidRDefault="00BC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64" w:rsidRDefault="00BC587E">
    <w:pPr>
      <w:pStyle w:val="Zpat"/>
      <w:jc w:val="center"/>
      <w:rPr>
        <w:b/>
        <w:bCs/>
      </w:rPr>
    </w:pPr>
  </w:p>
  <w:p w:rsidR="001A7564" w:rsidRDefault="00BC587E">
    <w:pPr>
      <w:pStyle w:val="Zpat"/>
      <w:pBdr>
        <w:top w:val="single" w:sz="4" w:space="0" w:color="000000"/>
      </w:pBdr>
      <w:jc w:val="center"/>
      <w:rPr>
        <w:b/>
        <w:bCs/>
      </w:rPr>
    </w:pPr>
  </w:p>
  <w:p w:rsidR="001A7564" w:rsidRDefault="00086A00">
    <w:pPr>
      <w:pStyle w:val="Zpat"/>
      <w:jc w:val="center"/>
      <w:rPr>
        <w:b/>
        <w:bCs/>
      </w:rPr>
    </w:pPr>
    <w:r>
      <w:rPr>
        <w:b/>
        <w:bCs/>
      </w:rPr>
      <w:t>Ministerstvo obrany ČR – Odbor komunikace – Tiskové oddělení</w:t>
    </w:r>
  </w:p>
  <w:p w:rsidR="001A7564" w:rsidRDefault="00086A00">
    <w:pPr>
      <w:pStyle w:val="Zpat"/>
      <w:jc w:val="center"/>
      <w:rPr>
        <w:rStyle w:val="None"/>
      </w:rPr>
    </w:pPr>
    <w:r>
      <w:rPr>
        <w:b/>
        <w:bCs/>
        <w:sz w:val="16"/>
        <w:szCs w:val="16"/>
      </w:rPr>
      <w:t>Pracoviště MO - Valy:</w:t>
    </w:r>
    <w:r>
      <w:rPr>
        <w:sz w:val="16"/>
        <w:szCs w:val="16"/>
      </w:rPr>
      <w:t xml:space="preserve">  tel.</w:t>
    </w:r>
    <w:r w:rsidR="00C46013">
      <w:rPr>
        <w:sz w:val="16"/>
        <w:szCs w:val="16"/>
      </w:rPr>
      <w:t>: 973 200 147</w:t>
    </w:r>
    <w:r>
      <w:rPr>
        <w:sz w:val="16"/>
        <w:szCs w:val="16"/>
      </w:rPr>
      <w:t xml:space="preserve">, e-mail: </w:t>
    </w:r>
    <w:hyperlink r:id="rId1" w:history="1">
      <w:r>
        <w:rPr>
          <w:rStyle w:val="Hyperlink0"/>
        </w:rPr>
        <w:t>info@army.cz</w:t>
      </w:r>
    </w:hyperlink>
  </w:p>
  <w:p w:rsidR="001A7564" w:rsidRDefault="00086A00">
    <w:pPr>
      <w:pStyle w:val="Zpat"/>
      <w:jc w:val="center"/>
    </w:pPr>
    <w:r>
      <w:rPr>
        <w:rStyle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7E" w:rsidRDefault="00BC587E">
      <w:r>
        <w:separator/>
      </w:r>
    </w:p>
  </w:footnote>
  <w:footnote w:type="continuationSeparator" w:id="0">
    <w:p w:rsidR="00BC587E" w:rsidRDefault="00BC5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00"/>
    <w:rsid w:val="00086A00"/>
    <w:rsid w:val="0067194C"/>
    <w:rsid w:val="00BC587E"/>
    <w:rsid w:val="00C46013"/>
    <w:rsid w:val="00C93B2D"/>
    <w:rsid w:val="00D936B9"/>
    <w:rsid w:val="00DC1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934B7-1D4A-4AC8-AF9E-A8BB1BAB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86A0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Footer">
    <w:name w:val="Header &amp; Footer"/>
    <w:rsid w:val="00086A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styleId="Zpat">
    <w:name w:val="footer"/>
    <w:link w:val="ZpatChar"/>
    <w:rsid w:val="00086A0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0"/>
      <w:szCs w:val="20"/>
      <w:u w:color="000000"/>
      <w:bdr w:val="nil"/>
      <w:lang w:eastAsia="cs-CZ"/>
    </w:rPr>
  </w:style>
  <w:style w:type="character" w:customStyle="1" w:styleId="ZpatChar">
    <w:name w:val="Zápatí Char"/>
    <w:basedOn w:val="Standardnpsmoodstavce"/>
    <w:link w:val="Zpat"/>
    <w:rsid w:val="00086A00"/>
    <w:rPr>
      <w:rFonts w:ascii="Times New Roman" w:eastAsia="Arial Unicode MS" w:hAnsi="Times New Roman" w:cs="Arial Unicode MS"/>
      <w:color w:val="000000"/>
      <w:sz w:val="20"/>
      <w:szCs w:val="20"/>
      <w:u w:color="000000"/>
      <w:bdr w:val="nil"/>
      <w:lang w:eastAsia="cs-CZ"/>
    </w:rPr>
  </w:style>
  <w:style w:type="character" w:customStyle="1" w:styleId="None">
    <w:name w:val="None"/>
    <w:rsid w:val="00086A00"/>
  </w:style>
  <w:style w:type="character" w:customStyle="1" w:styleId="Hyperlink0">
    <w:name w:val="Hyperlink.0"/>
    <w:basedOn w:val="None"/>
    <w:rsid w:val="00086A00"/>
    <w:rPr>
      <w:outline w:val="0"/>
      <w:color w:val="0000FF"/>
      <w:sz w:val="16"/>
      <w:szCs w:val="16"/>
      <w:u w:val="single" w:color="0000FF"/>
    </w:rPr>
  </w:style>
  <w:style w:type="paragraph" w:styleId="Zhlav">
    <w:name w:val="header"/>
    <w:link w:val="ZhlavChar"/>
    <w:rsid w:val="00086A00"/>
    <w:pPr>
      <w:pBdr>
        <w:top w:val="nil"/>
        <w:left w:val="nil"/>
        <w:bottom w:val="nil"/>
        <w:right w:val="nil"/>
        <w:between w:val="nil"/>
        <w:bar w:val="nil"/>
      </w:pBdr>
      <w:tabs>
        <w:tab w:val="center" w:pos="4536"/>
        <w:tab w:val="right" w:pos="9072"/>
      </w:tabs>
      <w:spacing w:after="0" w:line="240" w:lineRule="auto"/>
    </w:pPr>
    <w:rPr>
      <w:rFonts w:ascii="Times New Roman" w:eastAsia="Times New Roman" w:hAnsi="Times New Roman" w:cs="Times New Roman"/>
      <w:color w:val="000000"/>
      <w:sz w:val="20"/>
      <w:szCs w:val="20"/>
      <w:u w:color="000000"/>
      <w:bdr w:val="nil"/>
      <w:lang w:eastAsia="cs-CZ"/>
    </w:rPr>
  </w:style>
  <w:style w:type="character" w:customStyle="1" w:styleId="ZhlavChar">
    <w:name w:val="Záhlaví Char"/>
    <w:basedOn w:val="Standardnpsmoodstavce"/>
    <w:link w:val="Zhlav"/>
    <w:rsid w:val="00086A00"/>
    <w:rPr>
      <w:rFonts w:ascii="Times New Roman" w:eastAsia="Times New Roman" w:hAnsi="Times New Roman" w:cs="Times New Roman"/>
      <w:color w:val="000000"/>
      <w:sz w:val="20"/>
      <w:szCs w:val="20"/>
      <w:u w:color="000000"/>
      <w:bdr w:val="nil"/>
      <w:lang w:eastAsia="cs-CZ"/>
    </w:rPr>
  </w:style>
  <w:style w:type="paragraph" w:styleId="Bezmezer">
    <w:name w:val="No Spacing"/>
    <w:rsid w:val="00086A0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cs-CZ"/>
    </w:rPr>
  </w:style>
  <w:style w:type="paragraph" w:customStyle="1" w:styleId="Default">
    <w:name w:val="Default"/>
    <w:rsid w:val="00086A0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service@arm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VALA</dc:creator>
  <cp:keywords/>
  <dc:description/>
  <cp:lastModifiedBy>Ivo</cp:lastModifiedBy>
  <cp:revision>2</cp:revision>
  <dcterms:created xsi:type="dcterms:W3CDTF">2022-06-20T09:41:00Z</dcterms:created>
  <dcterms:modified xsi:type="dcterms:W3CDTF">2022-06-20T09:41:00Z</dcterms:modified>
</cp:coreProperties>
</file>