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2A1" w:rsidRDefault="00F732A1">
      <w:pPr>
        <w:pStyle w:val="Zhlav"/>
        <w:pBdr>
          <w:top w:val="single" w:sz="4" w:space="0" w:color="000000"/>
          <w:left w:val="single" w:sz="4" w:space="0" w:color="000000"/>
          <w:bottom w:val="single" w:sz="4" w:space="0" w:color="000000"/>
          <w:right w:val="single" w:sz="4" w:space="0" w:color="000000"/>
        </w:pBdr>
        <w:tabs>
          <w:tab w:val="clear" w:pos="9072"/>
          <w:tab w:val="right" w:pos="9046"/>
        </w:tabs>
        <w:jc w:val="center"/>
        <w:rPr>
          <w:rStyle w:val="dn"/>
          <w:b/>
          <w:bCs/>
        </w:rPr>
      </w:pPr>
    </w:p>
    <w:p w:rsidR="00F732A1" w:rsidRDefault="00361661">
      <w:pPr>
        <w:pStyle w:val="Zhlav"/>
        <w:pBdr>
          <w:top w:val="single" w:sz="4" w:space="0" w:color="000000"/>
          <w:left w:val="single" w:sz="4" w:space="0" w:color="000000"/>
          <w:bottom w:val="single" w:sz="4" w:space="0" w:color="000000"/>
          <w:right w:val="single" w:sz="4" w:space="0" w:color="000000"/>
        </w:pBdr>
        <w:tabs>
          <w:tab w:val="clear" w:pos="9072"/>
          <w:tab w:val="right" w:pos="9046"/>
        </w:tabs>
        <w:jc w:val="center"/>
        <w:outlineLvl w:val="0"/>
        <w:rPr>
          <w:rStyle w:val="dn"/>
          <w:b/>
          <w:bCs/>
          <w:sz w:val="48"/>
          <w:szCs w:val="48"/>
        </w:rPr>
      </w:pPr>
      <w:r>
        <w:rPr>
          <w:rStyle w:val="dn"/>
          <w:b/>
          <w:bCs/>
          <w:sz w:val="48"/>
          <w:szCs w:val="48"/>
        </w:rPr>
        <w:t>TISKOVÉ ODDĚLENÍ</w:t>
      </w:r>
    </w:p>
    <w:p w:rsidR="00F732A1" w:rsidRDefault="00361661">
      <w:pPr>
        <w:pStyle w:val="Zhlav"/>
        <w:pBdr>
          <w:top w:val="single" w:sz="4" w:space="0" w:color="000000"/>
          <w:left w:val="single" w:sz="4" w:space="0" w:color="000000"/>
          <w:bottom w:val="single" w:sz="4" w:space="0" w:color="000000"/>
          <w:right w:val="single" w:sz="4" w:space="0" w:color="000000"/>
        </w:pBdr>
        <w:tabs>
          <w:tab w:val="clear" w:pos="9072"/>
          <w:tab w:val="right" w:pos="9046"/>
        </w:tabs>
        <w:jc w:val="center"/>
        <w:outlineLvl w:val="0"/>
        <w:rPr>
          <w:rStyle w:val="dn"/>
          <w:b/>
          <w:bCs/>
          <w:sz w:val="32"/>
          <w:szCs w:val="32"/>
        </w:rPr>
      </w:pPr>
      <w:r>
        <w:rPr>
          <w:rStyle w:val="dn"/>
          <w:b/>
          <w:bCs/>
          <w:sz w:val="32"/>
          <w:szCs w:val="32"/>
        </w:rPr>
        <w:t>MINISTERSTVA OBRANY ČESKÉ REPUBLIKY</w:t>
      </w:r>
    </w:p>
    <w:p w:rsidR="00F732A1" w:rsidRDefault="00F732A1">
      <w:pPr>
        <w:pStyle w:val="Zhlav"/>
        <w:pBdr>
          <w:top w:val="single" w:sz="4" w:space="0" w:color="000000"/>
          <w:left w:val="single" w:sz="4" w:space="0" w:color="000000"/>
          <w:bottom w:val="single" w:sz="4" w:space="0" w:color="000000"/>
          <w:right w:val="single" w:sz="4" w:space="0" w:color="000000"/>
        </w:pBdr>
        <w:tabs>
          <w:tab w:val="clear" w:pos="9072"/>
          <w:tab w:val="right" w:pos="9046"/>
        </w:tabs>
        <w:jc w:val="center"/>
        <w:rPr>
          <w:rStyle w:val="dn"/>
          <w:b/>
          <w:bCs/>
          <w:sz w:val="24"/>
          <w:szCs w:val="24"/>
        </w:rPr>
      </w:pPr>
    </w:p>
    <w:p w:rsidR="00F732A1" w:rsidRDefault="00F732A1">
      <w:pPr>
        <w:jc w:val="both"/>
        <w:rPr>
          <w:rStyle w:val="dn"/>
          <w:b/>
          <w:bCs/>
          <w:sz w:val="24"/>
          <w:szCs w:val="24"/>
        </w:rPr>
      </w:pPr>
    </w:p>
    <w:p w:rsidR="00F732A1" w:rsidRDefault="00361661">
      <w:pPr>
        <w:jc w:val="both"/>
        <w:rPr>
          <w:rStyle w:val="dn"/>
          <w:b/>
          <w:bCs/>
          <w:sz w:val="24"/>
          <w:szCs w:val="24"/>
        </w:rPr>
      </w:pPr>
      <w:r>
        <w:rPr>
          <w:rStyle w:val="dn"/>
          <w:b/>
          <w:bCs/>
          <w:sz w:val="24"/>
          <w:szCs w:val="24"/>
        </w:rPr>
        <w:t>Datum</w:t>
      </w:r>
      <w:r>
        <w:rPr>
          <w:rStyle w:val="dn"/>
          <w:sz w:val="24"/>
          <w:szCs w:val="24"/>
        </w:rPr>
        <w:t>: 8. června 2018</w:t>
      </w:r>
      <w:r>
        <w:rPr>
          <w:rStyle w:val="dn"/>
          <w:b/>
          <w:bCs/>
          <w:sz w:val="24"/>
          <w:szCs w:val="24"/>
        </w:rPr>
        <w:t xml:space="preserve"> </w:t>
      </w:r>
    </w:p>
    <w:p w:rsidR="00F732A1" w:rsidRDefault="00361661">
      <w:pPr>
        <w:jc w:val="both"/>
        <w:rPr>
          <w:rStyle w:val="dn"/>
          <w:b/>
          <w:bCs/>
          <w:sz w:val="24"/>
          <w:szCs w:val="24"/>
        </w:rPr>
      </w:pPr>
      <w:r>
        <w:rPr>
          <w:rStyle w:val="dn"/>
          <w:b/>
          <w:bCs/>
          <w:sz w:val="24"/>
          <w:szCs w:val="24"/>
        </w:rPr>
        <w:t xml:space="preserve">Téma: </w:t>
      </w:r>
      <w:r w:rsidR="00652932" w:rsidRPr="00652932">
        <w:rPr>
          <w:rStyle w:val="dn"/>
          <w:b/>
          <w:bCs/>
          <w:sz w:val="24"/>
          <w:szCs w:val="24"/>
        </w:rPr>
        <w:t xml:space="preserve">Reakce </w:t>
      </w:r>
      <w:r w:rsidR="00652932" w:rsidRPr="00652932">
        <w:rPr>
          <w:rStyle w:val="dn"/>
          <w:b/>
          <w:sz w:val="24"/>
          <w:szCs w:val="24"/>
        </w:rPr>
        <w:t>na negativní stanovisko komise ASAB</w:t>
      </w:r>
    </w:p>
    <w:p w:rsidR="00F732A1" w:rsidRDefault="00361661">
      <w:pPr>
        <w:tabs>
          <w:tab w:val="left" w:pos="1134"/>
        </w:tabs>
        <w:jc w:val="both"/>
        <w:rPr>
          <w:rStyle w:val="dn"/>
          <w:sz w:val="24"/>
          <w:szCs w:val="24"/>
        </w:rPr>
      </w:pPr>
      <w:r>
        <w:rPr>
          <w:noProof/>
        </w:rPr>
        <mc:AlternateContent>
          <mc:Choice Requires="wps">
            <w:drawing>
              <wp:anchor distT="0" distB="0" distL="0" distR="0" simplePos="0" relativeHeight="251659264" behindDoc="0" locked="0" layoutInCell="1" allowOverlap="1">
                <wp:simplePos x="0" y="0"/>
                <wp:positionH relativeFrom="column">
                  <wp:posOffset>-44132</wp:posOffset>
                </wp:positionH>
                <wp:positionV relativeFrom="line">
                  <wp:posOffset>79057</wp:posOffset>
                </wp:positionV>
                <wp:extent cx="5943600"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5943600" cy="0"/>
                        </a:xfrm>
                        <a:prstGeom prst="line">
                          <a:avLst/>
                        </a:prstGeom>
                        <a:noFill/>
                        <a:ln w="9525" cap="flat">
                          <a:solidFill>
                            <a:srgbClr val="000000"/>
                          </a:solidFill>
                          <a:prstDash val="solid"/>
                          <a:round/>
                        </a:ln>
                        <a:effectLst/>
                      </wps:spPr>
                      <wps:bodyPr/>
                    </wps:wsp>
                  </a:graphicData>
                </a:graphic>
              </wp:anchor>
            </w:drawing>
          </mc:Choice>
          <mc:Fallback>
            <w:pict>
              <v:line id="_x0000_s1026" style="visibility:visible;position:absolute;margin-left:-3.5pt;margin-top:6.2pt;width:468.0pt;height:0.0pt;z-index:251659264;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r>
        <w:tab/>
      </w:r>
    </w:p>
    <w:p w:rsidR="00652932" w:rsidRDefault="00AA6BEE" w:rsidP="00652932">
      <w:pPr>
        <w:pStyle w:val="Normlnweb"/>
        <w:spacing w:after="240"/>
      </w:pPr>
      <w:r>
        <w:rPr>
          <w:b/>
          <w:bCs/>
        </w:rPr>
        <w:t>„</w:t>
      </w:r>
      <w:r w:rsidR="00652932">
        <w:rPr>
          <w:b/>
          <w:bCs/>
        </w:rPr>
        <w:t>Problémy jsou od toho, aby se řešily,</w:t>
      </w:r>
      <w:r>
        <w:rPr>
          <w:b/>
          <w:bCs/>
        </w:rPr>
        <w:t>“</w:t>
      </w:r>
      <w:r w:rsidR="00652932">
        <w:rPr>
          <w:b/>
          <w:bCs/>
        </w:rPr>
        <w:t xml:space="preserve"> říká ministryně Karla Šlechtová na negativní stanovisko komise ASAB k implementaci izraelských radarů do systémů NATO</w:t>
      </w:r>
    </w:p>
    <w:p w:rsidR="00652932" w:rsidRDefault="00652932" w:rsidP="00652932">
      <w:pPr>
        <w:pStyle w:val="Normlnweb"/>
        <w:spacing w:after="240"/>
      </w:pPr>
      <w:r>
        <w:t>Národní úřad pro kybernetickou a informační bezpečnost (NÚKIB) informoval dne 7.</w:t>
      </w:r>
      <w:r w:rsidR="00C65033">
        <w:t xml:space="preserve"> června</w:t>
      </w:r>
      <w:r>
        <w:t xml:space="preserve"> 2018 Ministerstvo obrany ČR o podrobnostech 45. zasedání bezpečnostního výboru Air and </w:t>
      </w:r>
      <w:proofErr w:type="spellStart"/>
      <w:r>
        <w:t>Missile</w:t>
      </w:r>
      <w:proofErr w:type="spellEnd"/>
      <w:r>
        <w:t xml:space="preserve"> </w:t>
      </w:r>
      <w:proofErr w:type="spellStart"/>
      <w:r>
        <w:t>Defence</w:t>
      </w:r>
      <w:proofErr w:type="spellEnd"/>
      <w:r>
        <w:t> </w:t>
      </w:r>
      <w:proofErr w:type="spellStart"/>
      <w:r>
        <w:t>Command</w:t>
      </w:r>
      <w:proofErr w:type="spellEnd"/>
      <w:r>
        <w:t xml:space="preserve"> and </w:t>
      </w:r>
      <w:proofErr w:type="spellStart"/>
      <w:r>
        <w:t>Control</w:t>
      </w:r>
      <w:proofErr w:type="spellEnd"/>
      <w:r>
        <w:t xml:space="preserve"> </w:t>
      </w:r>
      <w:proofErr w:type="spellStart"/>
      <w:r>
        <w:t>Security</w:t>
      </w:r>
      <w:proofErr w:type="spellEnd"/>
      <w:r>
        <w:t xml:space="preserve"> </w:t>
      </w:r>
      <w:proofErr w:type="spellStart"/>
      <w:r>
        <w:t>Acreditation</w:t>
      </w:r>
      <w:proofErr w:type="spellEnd"/>
      <w:r>
        <w:t xml:space="preserve"> </w:t>
      </w:r>
      <w:proofErr w:type="spellStart"/>
      <w:r>
        <w:t>Board</w:t>
      </w:r>
      <w:proofErr w:type="spellEnd"/>
      <w:r>
        <w:t xml:space="preserve"> (ASAB), zodpovědného za nastavení bezpečnostních pravidel systémů NATO. Zde byl zástupce české strany informován, že podle výboru není přípustné, aby do systému NATO byl zapojen systém, který nepochází z členské země NATO. A to kvůli případným bezpečnostním rizikům, která s sebou nesou necertifikované softwarové systémy.</w:t>
      </w:r>
    </w:p>
    <w:p w:rsidR="00652932" w:rsidRDefault="00652932" w:rsidP="00652932">
      <w:pPr>
        <w:pStyle w:val="Normlnweb"/>
        <w:spacing w:after="240"/>
      </w:pPr>
      <w:r>
        <w:t>Toto vyjádření se týká zejména záměru koupit 8 radarových kompletů izraelského systému MADR od firmy ELTA Systems Ltd. a plánu jejich integrace do roku 2020 do obrany vzdušného prostoru České</w:t>
      </w:r>
      <w:bookmarkStart w:id="0" w:name="_GoBack"/>
      <w:bookmarkEnd w:id="0"/>
      <w:r>
        <w:t xml:space="preserve"> republiky. </w:t>
      </w:r>
    </w:p>
    <w:p w:rsidR="00652932" w:rsidRDefault="00652932" w:rsidP="00652932">
      <w:pPr>
        <w:pStyle w:val="Normlnweb"/>
        <w:spacing w:after="240"/>
      </w:pPr>
      <w:r>
        <w:t xml:space="preserve">Protože se ale jedná o obecnější integrační problém, který řeší více členských států NATO, byl předsedou komise, panem Michaelem Bauerem, NCIA Air and </w:t>
      </w:r>
      <w:proofErr w:type="spellStart"/>
      <w:r>
        <w:t>Missile</w:t>
      </w:r>
      <w:proofErr w:type="spellEnd"/>
      <w:r>
        <w:t xml:space="preserve"> </w:t>
      </w:r>
      <w:proofErr w:type="spellStart"/>
      <w:r>
        <w:t>Defence</w:t>
      </w:r>
      <w:proofErr w:type="spellEnd"/>
      <w:r>
        <w:t xml:space="preserve"> C2, ASAB </w:t>
      </w:r>
      <w:proofErr w:type="spellStart"/>
      <w:r>
        <w:t>Chairman</w:t>
      </w:r>
      <w:proofErr w:type="spellEnd"/>
      <w:r>
        <w:t>, uložen úkol zjistit a stanovit postup, jak v těchto případech postupovat dál. Státy NATO totiž ne vždy kupují výzbroj z vlastní produkce.  </w:t>
      </w:r>
    </w:p>
    <w:p w:rsidR="00652932" w:rsidRPr="007C2312" w:rsidRDefault="00AA6BEE" w:rsidP="00652932">
      <w:pPr>
        <w:pStyle w:val="Normlnweb"/>
        <w:spacing w:after="240"/>
      </w:pPr>
      <w:r w:rsidRPr="007C2312">
        <w:rPr>
          <w:iCs/>
        </w:rPr>
        <w:t>„</w:t>
      </w:r>
      <w:r w:rsidR="00652932" w:rsidRPr="007C2312">
        <w:rPr>
          <w:iCs/>
        </w:rPr>
        <w:t>Problémy jsou od toho, aby se řešily,</w:t>
      </w:r>
      <w:r w:rsidRPr="007C2312">
        <w:rPr>
          <w:iCs/>
        </w:rPr>
        <w:t>“</w:t>
      </w:r>
      <w:r w:rsidR="00652932" w:rsidRPr="007C2312">
        <w:t> reagovala ministryně Šlechtová na vzniklou situaci. </w:t>
      </w:r>
      <w:r w:rsidRPr="007C2312">
        <w:t>„</w:t>
      </w:r>
      <w:r w:rsidR="00652932" w:rsidRPr="007C2312">
        <w:rPr>
          <w:iCs/>
        </w:rPr>
        <w:t>Jsem ráda, že díky aktivitě zástupců České republiky se problém implementace vnějších systémů včetně radarů do systémů NATO začal konečně systémově řešit. Osobně dohlédnu na to, aby se tématu věnovala náležitá pozornost na všech úrovních evropských koordinačních systémů.</w:t>
      </w:r>
      <w:r w:rsidRPr="007C2312">
        <w:rPr>
          <w:iCs/>
        </w:rPr>
        <w:t>“</w:t>
      </w:r>
    </w:p>
    <w:p w:rsidR="00652932" w:rsidRPr="007C2312" w:rsidRDefault="00652932" w:rsidP="00652932">
      <w:pPr>
        <w:pStyle w:val="Normlnweb"/>
        <w:spacing w:after="240"/>
      </w:pPr>
      <w:r w:rsidRPr="007C2312">
        <w:rPr>
          <w:iCs/>
        </w:rPr>
        <w:t>„Stanovisko ASAB je pro mě zcela novou informací. Věřím, že paní ministryně a zainteresovaní experti komplikaci</w:t>
      </w:r>
      <w:r w:rsidRPr="007C2312">
        <w:rPr>
          <w:b/>
          <w:bCs/>
          <w:iCs/>
        </w:rPr>
        <w:t> </w:t>
      </w:r>
      <w:r w:rsidRPr="007C2312">
        <w:rPr>
          <w:iCs/>
        </w:rPr>
        <w:t>se zapojením radarů MADR na mezinárodní úrovni vyřeší ve prospěch obranyschopnosti ČR,“ </w:t>
      </w:r>
      <w:r w:rsidRPr="007C2312">
        <w:t>řekl v této souvislosti náčelník generálního štábu AČR generál Aleš Opata. </w:t>
      </w:r>
    </w:p>
    <w:p w:rsidR="00652932" w:rsidRPr="007C2312" w:rsidRDefault="00652932" w:rsidP="00652932">
      <w:pPr>
        <w:pStyle w:val="Normlnweb"/>
        <w:spacing w:after="240"/>
      </w:pPr>
      <w:r w:rsidRPr="007C2312">
        <w:t>Ministryně Šlechtová se problémem se zapojením izraelských radarů do systémů NATO zabývá i na dnešním zasedání ministrů obrany členských států NATO, kteří právě jednají v Bruselu.</w:t>
      </w:r>
    </w:p>
    <w:p w:rsidR="00F732A1" w:rsidRPr="00AA6BEE" w:rsidRDefault="00361661">
      <w:pPr>
        <w:pStyle w:val="Normlnweb"/>
        <w:jc w:val="both"/>
        <w:rPr>
          <w:b/>
        </w:rPr>
      </w:pPr>
      <w:r w:rsidRPr="00AA6BEE">
        <w:rPr>
          <w:b/>
        </w:rPr>
        <w:t xml:space="preserve"> </w:t>
      </w:r>
      <w:r w:rsidRPr="00AA6BEE">
        <w:rPr>
          <w:rStyle w:val="dn"/>
          <w:b/>
        </w:rPr>
        <w:t xml:space="preserve"> </w:t>
      </w:r>
      <w:r w:rsidRPr="00AA6BEE">
        <w:rPr>
          <w:b/>
        </w:rPr>
        <w:t xml:space="preserve">  </w:t>
      </w:r>
    </w:p>
    <w:p w:rsidR="00F732A1" w:rsidRPr="00AA6BEE" w:rsidRDefault="00652932">
      <w:pPr>
        <w:jc w:val="both"/>
        <w:rPr>
          <w:b/>
        </w:rPr>
      </w:pPr>
      <w:r w:rsidRPr="00AA6BEE">
        <w:rPr>
          <w:rStyle w:val="dn"/>
          <w:b/>
          <w:sz w:val="24"/>
          <w:szCs w:val="24"/>
        </w:rPr>
        <w:t>T</w:t>
      </w:r>
      <w:r w:rsidR="00361661" w:rsidRPr="00AA6BEE">
        <w:rPr>
          <w:rStyle w:val="dn"/>
          <w:b/>
          <w:sz w:val="24"/>
          <w:szCs w:val="24"/>
        </w:rPr>
        <w:t xml:space="preserve">iskové oddělení MO </w:t>
      </w:r>
    </w:p>
    <w:sectPr w:rsidR="00F732A1" w:rsidRPr="00AA6BEE">
      <w:headerReference w:type="default" r:id="rId7"/>
      <w:footerReference w:type="default" r:id="rId8"/>
      <w:pgSz w:w="11900" w:h="16840"/>
      <w:pgMar w:top="1417" w:right="1417" w:bottom="1417" w:left="1417" w:header="708" w:footer="53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130" w:rsidRDefault="005A1130">
      <w:r>
        <w:separator/>
      </w:r>
    </w:p>
  </w:endnote>
  <w:endnote w:type="continuationSeparator" w:id="0">
    <w:p w:rsidR="005A1130" w:rsidRDefault="005A1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2A1" w:rsidRDefault="00F732A1">
    <w:pPr>
      <w:pStyle w:val="Zpat"/>
      <w:jc w:val="center"/>
      <w:rPr>
        <w:rStyle w:val="dn"/>
        <w:b/>
        <w:bCs/>
      </w:rPr>
    </w:pPr>
  </w:p>
  <w:p w:rsidR="00F732A1" w:rsidRDefault="00F732A1">
    <w:pPr>
      <w:pStyle w:val="Zpat"/>
      <w:pBdr>
        <w:top w:val="single" w:sz="4" w:space="0" w:color="000000"/>
      </w:pBdr>
      <w:jc w:val="center"/>
      <w:rPr>
        <w:rStyle w:val="dn"/>
        <w:b/>
        <w:bCs/>
      </w:rPr>
    </w:pPr>
  </w:p>
  <w:p w:rsidR="00F732A1" w:rsidRDefault="00361661">
    <w:pPr>
      <w:pStyle w:val="Zpat"/>
      <w:jc w:val="center"/>
      <w:rPr>
        <w:rStyle w:val="dn"/>
        <w:b/>
        <w:bCs/>
      </w:rPr>
    </w:pPr>
    <w:r>
      <w:rPr>
        <w:rStyle w:val="dn"/>
        <w:b/>
        <w:bCs/>
      </w:rPr>
      <w:t xml:space="preserve">Ministerstva obrany ČR – Odbor </w:t>
    </w:r>
    <w:proofErr w:type="gramStart"/>
    <w:r>
      <w:rPr>
        <w:rStyle w:val="dn"/>
        <w:b/>
        <w:bCs/>
      </w:rPr>
      <w:t>komunikace  – Tiskové</w:t>
    </w:r>
    <w:proofErr w:type="gramEnd"/>
    <w:r>
      <w:rPr>
        <w:rStyle w:val="dn"/>
        <w:b/>
        <w:bCs/>
      </w:rPr>
      <w:t xml:space="preserve"> oddělení</w:t>
    </w:r>
  </w:p>
  <w:p w:rsidR="00F732A1" w:rsidRDefault="00361661">
    <w:pPr>
      <w:pStyle w:val="Zpat"/>
      <w:jc w:val="center"/>
      <w:rPr>
        <w:rStyle w:val="dn"/>
        <w:sz w:val="16"/>
        <w:szCs w:val="16"/>
      </w:rPr>
    </w:pPr>
    <w:r>
      <w:rPr>
        <w:rStyle w:val="dn"/>
        <w:b/>
        <w:bCs/>
        <w:sz w:val="16"/>
        <w:szCs w:val="16"/>
      </w:rPr>
      <w:t xml:space="preserve">Pracoviště MO - </w:t>
    </w:r>
    <w:proofErr w:type="gramStart"/>
    <w:r>
      <w:rPr>
        <w:rStyle w:val="dn"/>
        <w:b/>
        <w:bCs/>
        <w:sz w:val="16"/>
        <w:szCs w:val="16"/>
      </w:rPr>
      <w:t>Valy:</w:t>
    </w:r>
    <w:r>
      <w:rPr>
        <w:rStyle w:val="dn"/>
        <w:sz w:val="16"/>
        <w:szCs w:val="16"/>
      </w:rPr>
      <w:t xml:space="preserve">  tel.</w:t>
    </w:r>
    <w:proofErr w:type="gramEnd"/>
    <w:r>
      <w:rPr>
        <w:rStyle w:val="dn"/>
        <w:sz w:val="16"/>
        <w:szCs w:val="16"/>
      </w:rPr>
      <w:t xml:space="preserve">: 973 200 147, fax: 973 200 149, e-mail: </w:t>
    </w:r>
    <w:hyperlink r:id="rId1" w:history="1">
      <w:r>
        <w:rPr>
          <w:rStyle w:val="Hyperlink0"/>
        </w:rPr>
        <w:t>info@army.cz</w:t>
      </w:r>
    </w:hyperlink>
  </w:p>
  <w:p w:rsidR="00F732A1" w:rsidRDefault="00361661">
    <w:pPr>
      <w:pStyle w:val="Zpat"/>
      <w:jc w:val="center"/>
      <w:rPr>
        <w:rStyle w:val="dn"/>
        <w:sz w:val="16"/>
        <w:szCs w:val="16"/>
      </w:rPr>
    </w:pPr>
    <w:r>
      <w:rPr>
        <w:rStyle w:val="dn"/>
        <w:b/>
        <w:bCs/>
        <w:sz w:val="16"/>
        <w:szCs w:val="16"/>
      </w:rPr>
      <w:t xml:space="preserve">Pracoviště MO - Generální štáb </w:t>
    </w:r>
    <w:proofErr w:type="gramStart"/>
    <w:r>
      <w:rPr>
        <w:rStyle w:val="dn"/>
        <w:b/>
        <w:bCs/>
        <w:sz w:val="16"/>
        <w:szCs w:val="16"/>
      </w:rPr>
      <w:t>AČR:</w:t>
    </w:r>
    <w:r>
      <w:rPr>
        <w:rStyle w:val="dn"/>
        <w:sz w:val="16"/>
        <w:szCs w:val="16"/>
      </w:rPr>
      <w:t xml:space="preserve">  tel.</w:t>
    </w:r>
    <w:proofErr w:type="gramEnd"/>
    <w:r>
      <w:rPr>
        <w:rStyle w:val="dn"/>
        <w:sz w:val="16"/>
        <w:szCs w:val="16"/>
      </w:rPr>
      <w:t xml:space="preserve">: 973 216 042, fax: 973 216 084, e-mail: </w:t>
    </w:r>
    <w:hyperlink r:id="rId2" w:history="1">
      <w:r>
        <w:rPr>
          <w:rStyle w:val="Hyperlink0"/>
        </w:rPr>
        <w:t>kangs@army.cz</w:t>
      </w:r>
    </w:hyperlink>
  </w:p>
  <w:p w:rsidR="00F732A1" w:rsidRDefault="005A1130">
    <w:pPr>
      <w:pStyle w:val="Zpat"/>
      <w:jc w:val="center"/>
    </w:pPr>
    <w:hyperlink r:id="rId3" w:history="1">
      <w:r w:rsidR="00361661">
        <w:rPr>
          <w:rStyle w:val="Hyperlink0"/>
        </w:rPr>
        <w:t>http://www.army.cz</w:t>
      </w:r>
    </w:hyperlink>
    <w:r w:rsidR="00361661">
      <w:rPr>
        <w:rStyle w:val="dn"/>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130" w:rsidRDefault="005A1130">
      <w:r>
        <w:separator/>
      </w:r>
    </w:p>
  </w:footnote>
  <w:footnote w:type="continuationSeparator" w:id="0">
    <w:p w:rsidR="005A1130" w:rsidRDefault="005A11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2A1" w:rsidRDefault="00F732A1">
    <w:pPr>
      <w:pStyle w:val="Zhlavazpa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732A1"/>
    <w:rsid w:val="000A5E7D"/>
    <w:rsid w:val="00361661"/>
    <w:rsid w:val="005A1130"/>
    <w:rsid w:val="00652932"/>
    <w:rsid w:val="007C2312"/>
    <w:rsid w:val="009E0236"/>
    <w:rsid w:val="00A92463"/>
    <w:rsid w:val="00AA6BEE"/>
    <w:rsid w:val="00C65033"/>
    <w:rsid w:val="00D674A0"/>
    <w:rsid w:val="00F732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rFonts w:eastAsia="Times New Roman"/>
      <w:color w:val="000000"/>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rPr>
  </w:style>
  <w:style w:type="paragraph" w:styleId="Zpat">
    <w:name w:val="footer"/>
    <w:pPr>
      <w:tabs>
        <w:tab w:val="center" w:pos="4536"/>
        <w:tab w:val="right" w:pos="9072"/>
      </w:tabs>
    </w:pPr>
    <w:rPr>
      <w:rFonts w:cs="Arial Unicode MS"/>
      <w:color w:val="000000"/>
      <w:u w:color="000000"/>
    </w:rPr>
  </w:style>
  <w:style w:type="character" w:customStyle="1" w:styleId="dn">
    <w:name w:val="Žádný"/>
  </w:style>
  <w:style w:type="character" w:customStyle="1" w:styleId="Hyperlink0">
    <w:name w:val="Hyperlink.0"/>
    <w:basedOn w:val="dn"/>
    <w:rPr>
      <w:color w:val="0000FF"/>
      <w:sz w:val="16"/>
      <w:szCs w:val="16"/>
      <w:u w:val="single" w:color="0000FF"/>
    </w:rPr>
  </w:style>
  <w:style w:type="paragraph" w:styleId="Zhlav">
    <w:name w:val="header"/>
    <w:pPr>
      <w:tabs>
        <w:tab w:val="center" w:pos="4536"/>
        <w:tab w:val="right" w:pos="9072"/>
      </w:tabs>
    </w:pPr>
    <w:rPr>
      <w:rFonts w:eastAsia="Times New Roman"/>
      <w:color w:val="000000"/>
      <w:u w:color="000000"/>
    </w:rPr>
  </w:style>
  <w:style w:type="paragraph" w:styleId="Normlnweb">
    <w:name w:val="Normal (Web)"/>
    <w:uiPriority w:val="99"/>
    <w:pPr>
      <w:spacing w:before="100" w:after="100"/>
    </w:pPr>
    <w:rPr>
      <w:rFonts w:cs="Arial Unicode MS"/>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rFonts w:eastAsia="Times New Roman"/>
      <w:color w:val="000000"/>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rPr>
  </w:style>
  <w:style w:type="paragraph" w:styleId="Zpat">
    <w:name w:val="footer"/>
    <w:pPr>
      <w:tabs>
        <w:tab w:val="center" w:pos="4536"/>
        <w:tab w:val="right" w:pos="9072"/>
      </w:tabs>
    </w:pPr>
    <w:rPr>
      <w:rFonts w:cs="Arial Unicode MS"/>
      <w:color w:val="000000"/>
      <w:u w:color="000000"/>
    </w:rPr>
  </w:style>
  <w:style w:type="character" w:customStyle="1" w:styleId="dn">
    <w:name w:val="Žádný"/>
  </w:style>
  <w:style w:type="character" w:customStyle="1" w:styleId="Hyperlink0">
    <w:name w:val="Hyperlink.0"/>
    <w:basedOn w:val="dn"/>
    <w:rPr>
      <w:color w:val="0000FF"/>
      <w:sz w:val="16"/>
      <w:szCs w:val="16"/>
      <w:u w:val="single" w:color="0000FF"/>
    </w:rPr>
  </w:style>
  <w:style w:type="paragraph" w:styleId="Zhlav">
    <w:name w:val="header"/>
    <w:pPr>
      <w:tabs>
        <w:tab w:val="center" w:pos="4536"/>
        <w:tab w:val="right" w:pos="9072"/>
      </w:tabs>
    </w:pPr>
    <w:rPr>
      <w:rFonts w:eastAsia="Times New Roman"/>
      <w:color w:val="000000"/>
      <w:u w:color="000000"/>
    </w:rPr>
  </w:style>
  <w:style w:type="paragraph" w:styleId="Normlnweb">
    <w:name w:val="Normal (Web)"/>
    <w:uiPriority w:val="99"/>
    <w:pPr>
      <w:spacing w:before="100" w:after="100"/>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418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_rels/footer1.xml.rels><?xml version="1.0" encoding="UTF-8" standalone="no"?>
<Relationships xmlns="http://schemas.openxmlformats.org/package/2006/relationships">
<Relationship Id="rId1" Target="mailto:press.service@army.cz" TargetMode="External" Type="http://schemas.openxmlformats.org/officeDocument/2006/relationships/hyperlink"/>
<Relationship Id="rId2" Target="mailto:kangs@army.cz" TargetMode="External" Type="http://schemas.openxmlformats.org/officeDocument/2006/relationships/hyperlink"/>
<Relationship Id="rId3" Target="http://www.army.cz" TargetMode="External" Type="http://schemas.openxmlformats.org/officeDocument/2006/relationships/hyperlink"/>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323</Words>
  <Characters>1906</Characters>
  <Application/>
  <DocSecurity>0</DocSecurity>
  <Lines>15</Lines>
  <Paragraphs>4</Paragraphs>
  <ScaleCrop>false</ScaleCrop>
  <HeadingPairs>
    <vt:vector baseType="variant" size="2">
      <vt:variant>
        <vt:lpstr>Název</vt:lpstr>
      </vt:variant>
      <vt:variant>
        <vt:i4>1</vt:i4>
      </vt:variant>
    </vt:vector>
  </HeadingPairs>
  <TitlesOfParts>
    <vt:vector baseType="lpstr" size="1">
      <vt:lpstr/>
    </vt:vector>
  </TitlesOfParts>
  <Company/>
  <LinksUpToDate>false</LinksUpToDate>
  <CharactersWithSpaces>2225</CharactersWithSpaces>
  <SharedDoc>false</SharedDoc>
  <HyperlinksChanged>false</HyperlinksChanged>
  <AppVersion>14.0000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