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51" w:rsidRDefault="007C6E5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rPr>
          <w:rStyle w:val="dn"/>
          <w:b/>
          <w:bCs/>
        </w:rPr>
      </w:pPr>
    </w:p>
    <w:p w:rsidR="007C6E51" w:rsidRDefault="007C6E5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rPr>
          <w:rStyle w:val="dn"/>
          <w:b/>
          <w:bCs/>
        </w:rPr>
      </w:pPr>
    </w:p>
    <w:p w:rsidR="007C6E51" w:rsidRDefault="004F7FB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7C6E51" w:rsidRDefault="004F7FB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7C6E51" w:rsidRDefault="007C6E5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rPr>
          <w:rStyle w:val="dn"/>
          <w:b/>
          <w:bCs/>
          <w:sz w:val="24"/>
          <w:szCs w:val="24"/>
        </w:rPr>
      </w:pPr>
    </w:p>
    <w:p w:rsidR="007C6E51" w:rsidRDefault="007C6E51">
      <w:pPr>
        <w:jc w:val="both"/>
        <w:rPr>
          <w:rStyle w:val="dn"/>
          <w:b/>
          <w:bCs/>
          <w:sz w:val="24"/>
          <w:szCs w:val="24"/>
        </w:rPr>
      </w:pPr>
    </w:p>
    <w:p w:rsidR="007C6E51" w:rsidRDefault="004F7FB1">
      <w:pPr>
        <w:tabs>
          <w:tab w:val="left" w:pos="1134"/>
        </w:tabs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Datum</w:t>
      </w:r>
      <w:r>
        <w:rPr>
          <w:rStyle w:val="dn"/>
          <w:sz w:val="24"/>
          <w:szCs w:val="24"/>
        </w:rPr>
        <w:t>: 17. června 2019</w:t>
      </w:r>
    </w:p>
    <w:p w:rsidR="007C6E51" w:rsidRDefault="004F7FB1">
      <w:pPr>
        <w:ind w:left="851" w:hanging="851"/>
      </w:pPr>
      <w:r>
        <w:rPr>
          <w:rStyle w:val="dn"/>
          <w:b/>
          <w:bCs/>
          <w:sz w:val="24"/>
          <w:szCs w:val="24"/>
        </w:rPr>
        <w:t>Téma:</w:t>
      </w:r>
      <w:r>
        <w:rPr>
          <w:rStyle w:val="dn"/>
          <w:b/>
          <w:bCs/>
        </w:rPr>
        <w:t xml:space="preserve">   </w:t>
      </w:r>
      <w:bookmarkStart w:id="0" w:name="_GoBack"/>
      <w:r>
        <w:rPr>
          <w:rStyle w:val="dn"/>
          <w:b/>
          <w:bCs/>
          <w:sz w:val="24"/>
          <w:szCs w:val="24"/>
        </w:rPr>
        <w:t>Ministr obrany Lubomír Metnar informoval vládu o zakázce na modernizaci tanků a nákup letounů CASA</w:t>
      </w:r>
      <w:bookmarkEnd w:id="0"/>
    </w:p>
    <w:p w:rsidR="007C6E51" w:rsidRDefault="004F7FB1">
      <w:pPr>
        <w:rPr>
          <w:rStyle w:val="d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5pt;margin-top:6.2pt;width:468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ab/>
      </w:r>
    </w:p>
    <w:p w:rsidR="007C6E51" w:rsidRDefault="004F7FB1">
      <w:pPr>
        <w:pStyle w:val="Zkladntext2"/>
        <w:spacing w:line="240" w:lineRule="auto"/>
        <w:ind w:firstLine="0"/>
      </w:pPr>
      <w:r>
        <w:t>V pondělí 17. června 2019 předložil ministr obrany Lubomír Metnar vládě České republiky informaci o třech veřejných zakázkách s předpokládanou hodnotou dohromady téměř 4 miliardy korun (včetně DPH).</w:t>
      </w:r>
    </w:p>
    <w:p w:rsidR="007C6E51" w:rsidRDefault="007C6E51">
      <w:pPr>
        <w:pStyle w:val="Zkladntext2"/>
        <w:spacing w:line="240" w:lineRule="auto"/>
        <w:ind w:firstLine="0"/>
      </w:pPr>
    </w:p>
    <w:p w:rsidR="007C6E51" w:rsidRDefault="004F7FB1">
      <w:pPr>
        <w:pStyle w:val="Zkladntext2"/>
        <w:spacing w:line="240" w:lineRule="auto"/>
        <w:ind w:firstLine="0"/>
      </w:pPr>
      <w:r>
        <w:t xml:space="preserve">Nejvíce finančních prostředků spotřebuje </w:t>
      </w:r>
      <w:r>
        <w:rPr>
          <w:rStyle w:val="dn"/>
          <w:b/>
          <w:bCs/>
        </w:rPr>
        <w:t>nákup dvou letounů CASA</w:t>
      </w:r>
      <w:r>
        <w:t xml:space="preserve"> od španělské společnosti Airbus Defence and Space. Ta nabídla možnost odběru dvou nových skladových letounů CASA v následujících dvou letech (2020, 2021) s odloženou platbou dle původně plánovaných termínů, tedy v letech 2022 a 2023.  </w:t>
      </w:r>
    </w:p>
    <w:p w:rsidR="007C6E51" w:rsidRDefault="007C6E51">
      <w:pPr>
        <w:pStyle w:val="Zkladntext2"/>
        <w:spacing w:line="240" w:lineRule="auto"/>
        <w:ind w:firstLine="0"/>
      </w:pPr>
    </w:p>
    <w:p w:rsidR="007C6E51" w:rsidRDefault="004F7FB1">
      <w:pPr>
        <w:pStyle w:val="Zkladntext2"/>
        <w:spacing w:line="240" w:lineRule="auto"/>
        <w:ind w:firstLine="0"/>
      </w:pPr>
      <w:r>
        <w:t xml:space="preserve">Celková pořizovací cena letounů s plným vybavením bude 2,7 mld. Kč s DPH. </w:t>
      </w:r>
      <w:r w:rsidR="008D5715">
        <w:t>Z</w:t>
      </w:r>
      <w:r w:rsidR="008D5715">
        <w:t xml:space="preserve"> ní vycházející nabídková cena</w:t>
      </w:r>
      <w:r w:rsidR="008D5715">
        <w:t xml:space="preserve"> </w:t>
      </w:r>
      <w:r>
        <w:t xml:space="preserve">bude ještě posouzena znalcem s předpokládaným podpisem smlouvy do konce roku. Díky předpokládané slevě a urychlení akvizice může dojít k úspoře až půl miliardy korun. </w:t>
      </w:r>
    </w:p>
    <w:p w:rsidR="007C6E51" w:rsidRDefault="007C6E51">
      <w:pPr>
        <w:pStyle w:val="Zkladntext2"/>
        <w:spacing w:line="240" w:lineRule="auto"/>
        <w:ind w:firstLine="0"/>
      </w:pPr>
    </w:p>
    <w:p w:rsidR="007C6E51" w:rsidRDefault="004F7FB1">
      <w:pPr>
        <w:pStyle w:val="Zkladntext2"/>
        <w:spacing w:line="240" w:lineRule="auto"/>
        <w:ind w:firstLine="0"/>
      </w:pPr>
      <w:r>
        <w:rPr>
          <w:rStyle w:val="dn"/>
          <w:b/>
          <w:bCs/>
        </w:rPr>
        <w:t xml:space="preserve">“Armáda České republiky potřebuje zvýšit své přepravní kapacity a nahradit dosluhující letouny Jak-40. Navíc nové letouny </w:t>
      </w:r>
      <w:r w:rsidR="00070128">
        <w:rPr>
          <w:rStyle w:val="dn"/>
          <w:b/>
          <w:bCs/>
        </w:rPr>
        <w:t xml:space="preserve">CASA </w:t>
      </w:r>
      <w:r>
        <w:rPr>
          <w:rStyle w:val="dn"/>
          <w:b/>
          <w:bCs/>
        </w:rPr>
        <w:t>budou úspornější, s větším doletem a modernějšími systémy, než ty dříve pořízené,”</w:t>
      </w:r>
      <w:r>
        <w:t xml:space="preserve"> vysvětlil ministr Metnar s tím, že 4 letouny, které již používá AČR, jsou spolehlivé a provozní náklady na ně nízké. </w:t>
      </w:r>
    </w:p>
    <w:p w:rsidR="007C6E51" w:rsidRDefault="007C6E51">
      <w:pPr>
        <w:pStyle w:val="Zkladntext2"/>
        <w:spacing w:line="240" w:lineRule="auto"/>
        <w:ind w:firstLine="0"/>
      </w:pPr>
    </w:p>
    <w:p w:rsidR="007C6E51" w:rsidRDefault="004F7FB1">
      <w:pPr>
        <w:pStyle w:val="Zkladntext2"/>
        <w:spacing w:line="240" w:lineRule="auto"/>
        <w:ind w:firstLine="0"/>
      </w:pPr>
      <w:r>
        <w:t xml:space="preserve">Nalétáno mají  přes  10 tisíc letových hodin a přepravily více než 62 000 osob. Plní úkoly při výcviku, zajišťují rotaci vojáků na zahraničních misích, používají se také k přepravě </w:t>
      </w:r>
      <w:r w:rsidR="00070128">
        <w:t xml:space="preserve">ústavních a vládních činitelů. </w:t>
      </w:r>
    </w:p>
    <w:p w:rsidR="007C6E51" w:rsidRDefault="007C6E5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E51" w:rsidRDefault="004F7FB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Druhou významnou zakázkou je 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technické zhodnocení 33 tanků T-72M</w:t>
      </w:r>
      <w:r>
        <w:rPr>
          <w:rFonts w:ascii="Times New Roman" w:hAnsi="Times New Roman"/>
          <w:sz w:val="24"/>
          <w:szCs w:val="24"/>
        </w:rPr>
        <w:t xml:space="preserve">. Tím je myšlena náhrada systémů a komponent, </w:t>
      </w:r>
      <w:r w:rsidR="00245042">
        <w:rPr>
          <w:rFonts w:ascii="Times New Roman" w:hAnsi="Times New Roman"/>
          <w:sz w:val="24"/>
          <w:szCs w:val="24"/>
        </w:rPr>
        <w:t>které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jsou zastaralé či </w:t>
      </w:r>
      <w:r w:rsidR="00245042">
        <w:rPr>
          <w:rFonts w:ascii="Times New Roman" w:hAnsi="Times New Roman"/>
          <w:sz w:val="24"/>
          <w:szCs w:val="24"/>
        </w:rPr>
        <w:t>neopravitelné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nebo se již nevyrábějí. Mezi nejdůležitější patří systém řízení palby či radiostanice. Předpokládaná hodnota zakázky je 908 mil. Kč bez DPH. Smlouva </w:t>
      </w:r>
      <w:r w:rsidR="00FD4CE0">
        <w:rPr>
          <w:rFonts w:ascii="Times New Roman" w:hAnsi="Times New Roman"/>
          <w:sz w:val="24"/>
          <w:szCs w:val="24"/>
        </w:rPr>
        <w:t xml:space="preserve">se státním podnikem VOP CZ </w:t>
      </w:r>
      <w:r>
        <w:rPr>
          <w:rFonts w:ascii="Times New Roman" w:hAnsi="Times New Roman"/>
          <w:sz w:val="24"/>
          <w:szCs w:val="24"/>
        </w:rPr>
        <w:t>uzavřena do konce roku 2019 s plněním v letech 2020 až 2023.</w:t>
      </w:r>
      <w:r w:rsidR="00FD4C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doby pořízení nových tanků (k němuž se nepřistoupí dříve než v letech 2026 až 2029) budou technicky zhodnocené tanky schopny zabezpečit naplnění mezinárodních závazků AČR. Následně budou určeny pro jednotky Aktivní zálohy.</w:t>
      </w:r>
    </w:p>
    <w:p w:rsidR="007C6E51" w:rsidRDefault="007C6E5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E51" w:rsidRDefault="004F7FB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Vláda vzala na vědomí také 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pořízení komplexního systému plánování letů letadel </w:t>
      </w:r>
      <w:r>
        <w:rPr>
          <w:rFonts w:ascii="Times New Roman" w:hAnsi="Times New Roman"/>
          <w:sz w:val="24"/>
          <w:szCs w:val="24"/>
        </w:rPr>
        <w:t xml:space="preserve">pro navigační přípravu a podporu plánování letů </w:t>
      </w:r>
      <w:r>
        <w:rPr>
          <w:rFonts w:ascii="Times New Roman" w:hAnsi="Times New Roman"/>
          <w:sz w:val="24"/>
          <w:szCs w:val="24"/>
          <w:lang w:val="es-ES_tradnl"/>
        </w:rPr>
        <w:t>letadel A</w:t>
      </w:r>
      <w:r>
        <w:rPr>
          <w:rFonts w:ascii="Times New Roman" w:hAnsi="Times New Roman"/>
          <w:sz w:val="24"/>
          <w:szCs w:val="24"/>
        </w:rPr>
        <w:t>ČR. Program je vyvíjen pražskou společností NAV Flight Services, která od roku 2011 ve dvou etapách programov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vybavení AČR poskytovala. Předpokládaná hodnota zakázky posouzená znalcem je 78,1 mil. Kč bez DPH. Smlouva bude uzavřena v létě 2019 s plněním do konce roku 2025.</w:t>
      </w:r>
    </w:p>
    <w:p w:rsidR="007C6E51" w:rsidRDefault="007C6E51">
      <w:pPr>
        <w:pStyle w:val="Zkladntext2"/>
        <w:spacing w:line="240" w:lineRule="auto"/>
        <w:ind w:firstLine="0"/>
      </w:pPr>
    </w:p>
    <w:p w:rsidR="007C6E51" w:rsidRDefault="007C6E51">
      <w:pPr>
        <w:pStyle w:val="Zkladntext2"/>
        <w:spacing w:line="240" w:lineRule="auto"/>
        <w:ind w:firstLine="0"/>
        <w:rPr>
          <w:rStyle w:val="dn"/>
          <w:b/>
          <w:bCs/>
        </w:rPr>
      </w:pPr>
    </w:p>
    <w:p w:rsidR="007C6E51" w:rsidRDefault="004F7FB1">
      <w:pPr>
        <w:pStyle w:val="Zkladntext2"/>
        <w:spacing w:line="240" w:lineRule="auto"/>
        <w:ind w:firstLine="0"/>
      </w:pPr>
      <w:r>
        <w:rPr>
          <w:rStyle w:val="dn"/>
          <w:b/>
          <w:bCs/>
        </w:rPr>
        <w:t>Jakub Fajnor, tiskové oddělení MO</w:t>
      </w:r>
    </w:p>
    <w:sectPr w:rsidR="007C6E51">
      <w:headerReference w:type="default" r:id="rId6"/>
      <w:footerReference w:type="default" r:id="rId7"/>
      <w:pgSz w:w="11900" w:h="16840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F2" w:rsidRDefault="000307F2">
      <w:r>
        <w:separator/>
      </w:r>
    </w:p>
  </w:endnote>
  <w:endnote w:type="continuationSeparator" w:id="0">
    <w:p w:rsidR="000307F2" w:rsidRDefault="0003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51" w:rsidRDefault="007C6E51">
    <w:pPr>
      <w:pStyle w:val="Zpat"/>
      <w:jc w:val="center"/>
      <w:rPr>
        <w:rStyle w:val="dn"/>
        <w:b/>
        <w:bCs/>
      </w:rPr>
    </w:pPr>
  </w:p>
  <w:p w:rsidR="007C6E51" w:rsidRDefault="007C6E5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7C6E51" w:rsidRDefault="004F7FB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>Ministerstva obrany ČR – Odbor komunikace – Tiskové oddělení</w:t>
    </w:r>
  </w:p>
  <w:p w:rsidR="007C6E51" w:rsidRDefault="004F7FB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Valy:</w:t>
    </w:r>
    <w:r>
      <w:rPr>
        <w:rStyle w:val="dn"/>
        <w:sz w:val="16"/>
        <w:szCs w:val="16"/>
      </w:rPr>
      <w:t xml:space="preserve">  tel.: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7C6E51" w:rsidRDefault="004F7FB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Generální štáb AČR:</w:t>
    </w:r>
    <w:r>
      <w:rPr>
        <w:rStyle w:val="dn"/>
        <w:sz w:val="16"/>
        <w:szCs w:val="16"/>
      </w:rPr>
      <w:t xml:space="preserve"> tel.: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7C6E51" w:rsidRDefault="000307F2">
    <w:pPr>
      <w:pStyle w:val="Zpat"/>
      <w:jc w:val="center"/>
    </w:pPr>
    <w:hyperlink r:id="rId3" w:history="1">
      <w:r w:rsidR="004F7FB1">
        <w:rPr>
          <w:rStyle w:val="Hyperlink0"/>
        </w:rPr>
        <w:t>http://www.army.cz</w:t>
      </w:r>
    </w:hyperlink>
    <w:r w:rsidR="004F7FB1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F2" w:rsidRDefault="000307F2">
      <w:r>
        <w:separator/>
      </w:r>
    </w:p>
  </w:footnote>
  <w:footnote w:type="continuationSeparator" w:id="0">
    <w:p w:rsidR="000307F2" w:rsidRDefault="0003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51" w:rsidRDefault="007C6E51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51"/>
    <w:rsid w:val="000307F2"/>
    <w:rsid w:val="00070128"/>
    <w:rsid w:val="00245042"/>
    <w:rsid w:val="0026454B"/>
    <w:rsid w:val="004F7FB1"/>
    <w:rsid w:val="007C6E51"/>
    <w:rsid w:val="008D5715"/>
    <w:rsid w:val="008E2B34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25D4"/>
  <w15:docId w15:val="{444D8850-2B85-49C2-A320-1DB23C32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Zkladntext2">
    <w:name w:val="Body Text 2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Růžková</cp:lastModifiedBy>
  <cp:revision>2</cp:revision>
  <dcterms:created xsi:type="dcterms:W3CDTF">2019-06-17T14:06:00Z</dcterms:created>
  <dcterms:modified xsi:type="dcterms:W3CDTF">2019-06-17T14:06:00Z</dcterms:modified>
</cp:coreProperties>
</file>