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017E0C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TISKOVÉ SDĚLENÍ</w:t>
      </w:r>
    </w:p>
    <w:p w:rsidR="00017E0C" w:rsidRPr="00017E0C" w:rsidRDefault="00017E0C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MINISTERSTVA OBRANY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017E0C">
        <w:rPr>
          <w:b/>
        </w:rPr>
        <w:t>18. ledna 2018</w:t>
      </w:r>
    </w:p>
    <w:p w:rsidR="00643CE5" w:rsidRPr="00017E0C" w:rsidRDefault="0076119E" w:rsidP="00DD0B47">
      <w:r>
        <w:rPr>
          <w:b/>
        </w:rPr>
        <w:t xml:space="preserve">Téma: </w:t>
      </w:r>
      <w:r w:rsidR="00017E0C" w:rsidRPr="00017E0C">
        <w:rPr>
          <w:kern w:val="36"/>
        </w:rPr>
        <w:t>Ministryně obrany Karla Šlechtová navštívila muniční sklad v Týništi i centrum v Těchoníně</w:t>
      </w:r>
    </w:p>
    <w:p w:rsidR="00643CE5" w:rsidRPr="00253C61" w:rsidRDefault="009270CD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CA8FACF" wp14:editId="79AAE256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017E0C" w:rsidRPr="00017E0C" w:rsidRDefault="00017E0C" w:rsidP="00017E0C">
      <w:pPr>
        <w:spacing w:before="100" w:beforeAutospacing="1" w:after="100" w:afterAutospacing="1"/>
        <w:jc w:val="both"/>
      </w:pPr>
      <w:r w:rsidRPr="00017E0C">
        <w:t xml:space="preserve">Ministryně obrany Karla Šlechtová navštívila </w:t>
      </w:r>
      <w:r>
        <w:t xml:space="preserve">ve čtvrtek 18. ledna 2018 </w:t>
      </w:r>
      <w:r w:rsidRPr="00017E0C">
        <w:t xml:space="preserve">tři armádní útvary, aby se na vlastní oči přesvědčila, jak se jim daří plnit své povinnosti. Dobře fungující specializovaná pracoviště jsou jednou z jejích priorit. Společně s 1. zástupcem náčelníka Generálního štábu AČR generálporučíkem Jiřím Balounem si prohlédla prostory hlavního muničního skladu v Týništi nad Orlicí, Centra biologické ochrany v Těchoníně a podzemní sklady munice v Mladkově. </w:t>
      </w:r>
    </w:p>
    <w:p w:rsidR="00017E0C" w:rsidRPr="00017E0C" w:rsidRDefault="00017E0C" w:rsidP="00017E0C">
      <w:pPr>
        <w:jc w:val="both"/>
      </w:pPr>
      <w:r w:rsidRPr="00017E0C">
        <w:t xml:space="preserve">Prvním v pořadí bylo týnišťské Centrum zabezpečení munice (CZM), kterým ministryni provedl brigádní generál Jaroslav </w:t>
      </w:r>
      <w:proofErr w:type="spellStart"/>
      <w:r w:rsidRPr="00017E0C">
        <w:t>Trakal</w:t>
      </w:r>
      <w:proofErr w:type="spellEnd"/>
      <w:r w:rsidRPr="00017E0C">
        <w:t xml:space="preserve">, ředitel Agentury logistiky. Základna v Týništi je ústředním skladovým, zkušebním a zásobovacím zařízením zajišťujícím pro AČR kompletní zabezpečení municí, řízenými střelami, výbušninami a pyrotechnickými prostředky. </w:t>
      </w:r>
    </w:p>
    <w:p w:rsidR="00017E0C" w:rsidRPr="00017E0C" w:rsidRDefault="00017E0C" w:rsidP="00017E0C">
      <w:pPr>
        <w:spacing w:before="100" w:beforeAutospacing="1" w:after="100" w:afterAutospacing="1"/>
        <w:jc w:val="both"/>
      </w:pPr>
      <w:r w:rsidRPr="00017E0C">
        <w:t xml:space="preserve">Tyto komodity nejen v jednotlivých podřízených zásobovacích střediscích skladuje a ošetřuje, ale přímo v Týništi pak provádí i nezbytné technické a chemické zkoušky pro sledování stavu a prodlužování životnosti munice a také její případnou </w:t>
      </w:r>
      <w:proofErr w:type="spellStart"/>
      <w:r w:rsidRPr="00017E0C">
        <w:t>delaboraci</w:t>
      </w:r>
      <w:proofErr w:type="spellEnd"/>
      <w:r w:rsidRPr="00017E0C">
        <w:t xml:space="preserve">. Celým procesem </w:t>
      </w:r>
      <w:proofErr w:type="spellStart"/>
      <w:r w:rsidRPr="00017E0C">
        <w:t>delaborace</w:t>
      </w:r>
      <w:proofErr w:type="spellEnd"/>
      <w:r w:rsidRPr="00017E0C">
        <w:t xml:space="preserve"> s názornými ukázkami </w:t>
      </w:r>
      <w:r>
        <w:t xml:space="preserve">ministryni Šlechtovou </w:t>
      </w:r>
      <w:r w:rsidRPr="00017E0C">
        <w:t xml:space="preserve">provedl hlavní inženýr útvaru major Jaroslav Unger. Zakončena byla detonací kilogramu trhaviny semtex ve speciálně zabezpečené komoře, k čemuž vydala příkaz na přístroji ve </w:t>
      </w:r>
      <w:proofErr w:type="spellStart"/>
      <w:r w:rsidRPr="00017E0C">
        <w:t>velíně</w:t>
      </w:r>
      <w:proofErr w:type="spellEnd"/>
      <w:r w:rsidRPr="00017E0C">
        <w:t xml:space="preserve"> sama ministryně. „Z bezpečné vzdálenosti a po předchozím školení s tím nebyl žádný problém,“ </w:t>
      </w:r>
      <w:r>
        <w:t xml:space="preserve">uvedla ministryně Šlechtová. </w:t>
      </w:r>
    </w:p>
    <w:p w:rsidR="00017E0C" w:rsidRPr="00017E0C" w:rsidRDefault="00017E0C" w:rsidP="00017E0C">
      <w:pPr>
        <w:spacing w:before="100" w:beforeAutospacing="1" w:after="100" w:afterAutospacing="1"/>
        <w:jc w:val="both"/>
      </w:pPr>
      <w:r w:rsidRPr="00017E0C">
        <w:rPr>
          <w:b/>
          <w:bCs/>
        </w:rPr>
        <w:t>Muniční sklad hlídá Vojenská policie</w:t>
      </w:r>
      <w:r w:rsidRPr="00017E0C">
        <w:t xml:space="preserve"> </w:t>
      </w:r>
    </w:p>
    <w:p w:rsidR="00017E0C" w:rsidRPr="00017E0C" w:rsidRDefault="00017E0C" w:rsidP="00017E0C">
      <w:pPr>
        <w:spacing w:before="100" w:beforeAutospacing="1" w:after="100" w:afterAutospacing="1"/>
        <w:jc w:val="both"/>
      </w:pPr>
      <w:r w:rsidRPr="00017E0C">
        <w:t>O ostrah</w:t>
      </w:r>
      <w:r>
        <w:t>u</w:t>
      </w:r>
      <w:r w:rsidRPr="00017E0C">
        <w:t xml:space="preserve"> se starají příslušníci Vojenské policie. Jejich úkol není jednoduchý, protože CZM má rozlohu 496 hektarů, obvod vnějšího oplocení je přes 12 kilometrů a v objektu se nachází 71 skladišť a přes třiatřicet tisíc metrů čtverečných užitné skladové plochy. </w:t>
      </w:r>
    </w:p>
    <w:p w:rsidR="00017E0C" w:rsidRDefault="00017E0C" w:rsidP="00017E0C">
      <w:pPr>
        <w:spacing w:before="100" w:beforeAutospacing="1" w:after="100" w:afterAutospacing="1"/>
        <w:jc w:val="both"/>
      </w:pPr>
      <w:r w:rsidRPr="00017E0C">
        <w:rPr>
          <w:b/>
        </w:rPr>
        <w:t>„Celkově je v muničních skladech Armády České republiky uskladněna munice za téměř 9 miliard korun, proto je důležité se o jejich bezpečnost starat, jak nejlépe to jde. Přesvědčila jsem se, že tento náročný a závažný úkol v Týništi zvládají na výbornou, a mohu tak ujistit občany, že se nemají čeho obávat,“ ujistila ministryně Šlechtová.</w:t>
      </w:r>
      <w:r w:rsidRPr="00017E0C">
        <w:t xml:space="preserve"> </w:t>
      </w:r>
    </w:p>
    <w:p w:rsidR="00017E0C" w:rsidRPr="00017E0C" w:rsidRDefault="00017E0C" w:rsidP="00017E0C">
      <w:pPr>
        <w:spacing w:before="100" w:beforeAutospacing="1" w:after="100" w:afterAutospacing="1"/>
        <w:jc w:val="both"/>
      </w:pPr>
      <w:r>
        <w:t>Ta k</w:t>
      </w:r>
      <w:r w:rsidRPr="00017E0C">
        <w:t xml:space="preserve">romě týnišťského centra navštívila ve čtvrtek i jeho podřízený sklad v Mladkově. Ocenila jeho unikátní umístění v sálech bývalé dělostřelecké tvrze ADAM hluboko pod zemí. </w:t>
      </w:r>
    </w:p>
    <w:p w:rsidR="00017E0C" w:rsidRPr="00017E0C" w:rsidRDefault="00017E0C" w:rsidP="00017E0C">
      <w:pPr>
        <w:spacing w:before="100" w:beforeAutospacing="1" w:after="100" w:afterAutospacing="1"/>
        <w:jc w:val="both"/>
      </w:pPr>
      <w:r w:rsidRPr="00017E0C">
        <w:rPr>
          <w:b/>
          <w:bCs/>
        </w:rPr>
        <w:t>Komplexní zabezpečení biologické ochrany AČR</w:t>
      </w:r>
      <w:r w:rsidRPr="00017E0C">
        <w:t xml:space="preserve"> </w:t>
      </w:r>
    </w:p>
    <w:p w:rsidR="00017E0C" w:rsidRPr="00017E0C" w:rsidRDefault="00017E0C" w:rsidP="00017E0C">
      <w:pPr>
        <w:spacing w:before="100" w:beforeAutospacing="1" w:after="100" w:afterAutospacing="1"/>
        <w:jc w:val="both"/>
      </w:pPr>
      <w:r w:rsidRPr="00017E0C">
        <w:t>Se záměrem prohlédnout si unikátní zdravotnické zařízení a zjistit, jak je připraveno potýkat se s biologickými bezpečnostními hrozbami, ministryně obrany se svým doprovodem přijela do areálu Odboru biologické ochrany v Těchoníně. Jeho hlavním úkolem je komplexní zabezpečení bi</w:t>
      </w:r>
      <w:r>
        <w:t xml:space="preserve">ologické ochrany AČR. Součástí </w:t>
      </w:r>
      <w:r w:rsidRPr="00017E0C">
        <w:t xml:space="preserve">zařízení je specializovaná infekční nemocnice pro léčení osob se zvláště nebezpečnými a exotickými infekcemi na úrovni nejvyššího stupně biologického zabezpečení BSL 4. Poskytuje také karanténní pracoviště pro vyšetření vojáků po jejich návratu z misí. </w:t>
      </w:r>
    </w:p>
    <w:p w:rsidR="00017E0C" w:rsidRPr="00017E0C" w:rsidRDefault="00017E0C" w:rsidP="00017E0C">
      <w:pPr>
        <w:spacing w:before="100" w:beforeAutospacing="1" w:after="100" w:afterAutospacing="1"/>
        <w:jc w:val="both"/>
        <w:rPr>
          <w:b/>
        </w:rPr>
      </w:pPr>
      <w:r w:rsidRPr="00017E0C">
        <w:rPr>
          <w:b/>
        </w:rPr>
        <w:t xml:space="preserve">„Je to špičkové zařízení s celosvětovým významem. Ve střední Evropě je navíc nemocnice tohoto typu splňující nejvyšší mezinárodní kritéria naprosto ojedinělá. Jsem ráda, že je součástí české armády stejně jako </w:t>
      </w:r>
      <w:proofErr w:type="gramStart"/>
      <w:r w:rsidRPr="00017E0C">
        <w:rPr>
          <w:b/>
        </w:rPr>
        <w:t>vyškovské</w:t>
      </w:r>
      <w:proofErr w:type="gramEnd"/>
      <w:r w:rsidRPr="00017E0C">
        <w:rPr>
          <w:b/>
        </w:rPr>
        <w:t xml:space="preserve"> Centre </w:t>
      </w:r>
      <w:proofErr w:type="spellStart"/>
      <w:r w:rsidRPr="00017E0C">
        <w:rPr>
          <w:b/>
        </w:rPr>
        <w:t>of</w:t>
      </w:r>
      <w:proofErr w:type="spellEnd"/>
      <w:r w:rsidRPr="00017E0C">
        <w:rPr>
          <w:b/>
        </w:rPr>
        <w:t xml:space="preserve"> Excellence, které je autoritou NATO v oblasti obrany před hrozbami spojenými se zbraněmi hromadného ničení,“ řekla ministryně. </w:t>
      </w:r>
    </w:p>
    <w:p w:rsidR="00017E0C" w:rsidRDefault="00017E0C" w:rsidP="00017E0C">
      <w:pPr>
        <w:spacing w:before="100" w:beforeAutospacing="1" w:after="100" w:afterAutospacing="1"/>
        <w:jc w:val="both"/>
      </w:pPr>
      <w:r w:rsidRPr="00017E0C">
        <w:t xml:space="preserve">Vybudování </w:t>
      </w:r>
      <w:proofErr w:type="spellStart"/>
      <w:r w:rsidRPr="00017E0C">
        <w:t>těchonínské</w:t>
      </w:r>
      <w:proofErr w:type="spellEnd"/>
      <w:r w:rsidRPr="00017E0C">
        <w:t xml:space="preserve"> nemocnice v současné podobě stálo celkem 1,726 miliardy korun a jeho provozní výdaje na rok dosahují desítek milionů korun. To je však vyváženo jeho ojedinělým přínosem pro občany České republiky i pro spojence v Severoatlantické alianci, do jejíhož systému biologické ochrany náleží. V případě potřeby by ministryně Šlechtová neváhala prostředky na jeho provoz i zvýšit.</w:t>
      </w:r>
    </w:p>
    <w:p w:rsidR="00017E0C" w:rsidRDefault="00017E0C" w:rsidP="00017E0C">
      <w:pPr>
        <w:spacing w:before="100" w:beforeAutospacing="1" w:after="100" w:afterAutospacing="1"/>
        <w:jc w:val="both"/>
      </w:pPr>
    </w:p>
    <w:p w:rsidR="00017E0C" w:rsidRDefault="00017E0C" w:rsidP="00017E0C">
      <w:pPr>
        <w:spacing w:before="100" w:beforeAutospacing="1" w:after="100" w:afterAutospacing="1"/>
        <w:jc w:val="both"/>
      </w:pPr>
    </w:p>
    <w:p w:rsidR="00017E0C" w:rsidRPr="00017E0C" w:rsidRDefault="00017E0C" w:rsidP="00017E0C">
      <w:pPr>
        <w:spacing w:before="100" w:beforeAutospacing="1" w:after="100" w:afterAutospacing="1"/>
        <w:jc w:val="both"/>
      </w:pPr>
      <w:r>
        <w:t xml:space="preserve">Jakub </w:t>
      </w:r>
      <w:proofErr w:type="spellStart"/>
      <w:r>
        <w:t>Fajnor</w:t>
      </w:r>
      <w:proofErr w:type="spellEnd"/>
      <w:r>
        <w:t>, tiskové oddělení MO</w:t>
      </w:r>
    </w:p>
    <w:p w:rsidR="00DA4037" w:rsidRPr="00253C61" w:rsidRDefault="00DA4037" w:rsidP="00017E0C">
      <w:pPr>
        <w:tabs>
          <w:tab w:val="left" w:pos="709"/>
        </w:tabs>
        <w:jc w:val="both"/>
        <w:rPr>
          <w:color w:val="0000FF"/>
          <w:u w:val="single"/>
        </w:rPr>
      </w:pPr>
    </w:p>
    <w:sectPr w:rsidR="00DA4037" w:rsidRPr="00253C61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CE" w:rsidRDefault="00476BCE">
      <w:r>
        <w:separator/>
      </w:r>
    </w:p>
  </w:endnote>
  <w:endnote w:type="continuationSeparator" w:id="0">
    <w:p w:rsidR="00476BCE" w:rsidRDefault="0047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476BCE">
    <w:pPr>
      <w:pStyle w:val="Zpat"/>
      <w:ind w:right="-2"/>
      <w:jc w:val="center"/>
      <w:rPr>
        <w:b/>
      </w:rPr>
    </w:pPr>
  </w:p>
  <w:p w:rsidR="00E216D7" w:rsidRDefault="00476BCE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CE" w:rsidRDefault="00476BCE">
      <w:r>
        <w:separator/>
      </w:r>
    </w:p>
  </w:footnote>
  <w:footnote w:type="continuationSeparator" w:id="0">
    <w:p w:rsidR="00476BCE" w:rsidRDefault="0047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7E0C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233E4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3BFB"/>
    <w:rsid w:val="00243C99"/>
    <w:rsid w:val="00253C61"/>
    <w:rsid w:val="00255CE1"/>
    <w:rsid w:val="00256AD7"/>
    <w:rsid w:val="00261829"/>
    <w:rsid w:val="00280E10"/>
    <w:rsid w:val="00281F98"/>
    <w:rsid w:val="00290373"/>
    <w:rsid w:val="002B2A80"/>
    <w:rsid w:val="002D1E1F"/>
    <w:rsid w:val="002E4291"/>
    <w:rsid w:val="002E5C16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075D"/>
    <w:rsid w:val="00432A9C"/>
    <w:rsid w:val="00453960"/>
    <w:rsid w:val="00453F9B"/>
    <w:rsid w:val="00476BCE"/>
    <w:rsid w:val="00484EBF"/>
    <w:rsid w:val="00495507"/>
    <w:rsid w:val="004B218F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D766A"/>
    <w:rsid w:val="005D7AD8"/>
    <w:rsid w:val="005E6658"/>
    <w:rsid w:val="005F4348"/>
    <w:rsid w:val="00602F62"/>
    <w:rsid w:val="006075EB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86709"/>
    <w:rsid w:val="0069294C"/>
    <w:rsid w:val="00696001"/>
    <w:rsid w:val="006B2E3D"/>
    <w:rsid w:val="006C79DD"/>
    <w:rsid w:val="006F1B00"/>
    <w:rsid w:val="00704CE5"/>
    <w:rsid w:val="00707943"/>
    <w:rsid w:val="0071121F"/>
    <w:rsid w:val="007169F9"/>
    <w:rsid w:val="00750378"/>
    <w:rsid w:val="00760F98"/>
    <w:rsid w:val="0076119E"/>
    <w:rsid w:val="007878EB"/>
    <w:rsid w:val="007B49CF"/>
    <w:rsid w:val="007C7F87"/>
    <w:rsid w:val="007E5E24"/>
    <w:rsid w:val="007F077B"/>
    <w:rsid w:val="00800604"/>
    <w:rsid w:val="0081580E"/>
    <w:rsid w:val="008159B7"/>
    <w:rsid w:val="00836C17"/>
    <w:rsid w:val="00856197"/>
    <w:rsid w:val="00865548"/>
    <w:rsid w:val="00871EFC"/>
    <w:rsid w:val="00876394"/>
    <w:rsid w:val="00896BAE"/>
    <w:rsid w:val="008A3B8B"/>
    <w:rsid w:val="008B1A41"/>
    <w:rsid w:val="008B5628"/>
    <w:rsid w:val="008D59DE"/>
    <w:rsid w:val="008D63EA"/>
    <w:rsid w:val="008E5464"/>
    <w:rsid w:val="008F5EBE"/>
    <w:rsid w:val="0090626A"/>
    <w:rsid w:val="00912D0C"/>
    <w:rsid w:val="009159A9"/>
    <w:rsid w:val="00921240"/>
    <w:rsid w:val="00921D28"/>
    <w:rsid w:val="009270CD"/>
    <w:rsid w:val="009433D6"/>
    <w:rsid w:val="0094571C"/>
    <w:rsid w:val="00952272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1183"/>
    <w:rsid w:val="00A25A2F"/>
    <w:rsid w:val="00A35F89"/>
    <w:rsid w:val="00A4144E"/>
    <w:rsid w:val="00A854BA"/>
    <w:rsid w:val="00A868BD"/>
    <w:rsid w:val="00A970F4"/>
    <w:rsid w:val="00A97443"/>
    <w:rsid w:val="00AA2FC1"/>
    <w:rsid w:val="00AB2E4C"/>
    <w:rsid w:val="00AB4CE9"/>
    <w:rsid w:val="00B20717"/>
    <w:rsid w:val="00B836FF"/>
    <w:rsid w:val="00B877F2"/>
    <w:rsid w:val="00B91FB5"/>
    <w:rsid w:val="00B93663"/>
    <w:rsid w:val="00B97E54"/>
    <w:rsid w:val="00BA1914"/>
    <w:rsid w:val="00BA2F53"/>
    <w:rsid w:val="00BA690B"/>
    <w:rsid w:val="00BB3A1D"/>
    <w:rsid w:val="00BB7AE0"/>
    <w:rsid w:val="00BD721B"/>
    <w:rsid w:val="00BE1A94"/>
    <w:rsid w:val="00BF07A9"/>
    <w:rsid w:val="00C04614"/>
    <w:rsid w:val="00C177E5"/>
    <w:rsid w:val="00C4492B"/>
    <w:rsid w:val="00C44AE5"/>
    <w:rsid w:val="00C56844"/>
    <w:rsid w:val="00C7146F"/>
    <w:rsid w:val="00C86A20"/>
    <w:rsid w:val="00C91932"/>
    <w:rsid w:val="00CB0716"/>
    <w:rsid w:val="00CB44F0"/>
    <w:rsid w:val="00CD3E14"/>
    <w:rsid w:val="00D14321"/>
    <w:rsid w:val="00D429C8"/>
    <w:rsid w:val="00D623CE"/>
    <w:rsid w:val="00D64189"/>
    <w:rsid w:val="00D722B3"/>
    <w:rsid w:val="00D82870"/>
    <w:rsid w:val="00D84D51"/>
    <w:rsid w:val="00D950D6"/>
    <w:rsid w:val="00DA4037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841A1"/>
    <w:rsid w:val="00EA3EEE"/>
    <w:rsid w:val="00EA7175"/>
    <w:rsid w:val="00EB5CEA"/>
    <w:rsid w:val="00ED3F05"/>
    <w:rsid w:val="00EE0915"/>
    <w:rsid w:val="00EE71F4"/>
    <w:rsid w:val="00EF063F"/>
    <w:rsid w:val="00F07E94"/>
    <w:rsid w:val="00F84634"/>
    <w:rsid w:val="00F900EB"/>
    <w:rsid w:val="00F90EAF"/>
    <w:rsid w:val="00FA70C7"/>
    <w:rsid w:val="00FB607C"/>
    <w:rsid w:val="00FB70B8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7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17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7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17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1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349F-EAC4-4113-B50A-C3680825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552</Words>
  <Characters>3261</Characters>
  <Application/>
  <DocSecurity>0</DocSecurity>
  <Lines>27</Lines>
  <Paragraphs>7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3806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