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B7" w:rsidRDefault="00CB5BB7" w:rsidP="00CB5BB7">
      <w:pPr>
        <w:spacing w:line="360" w:lineRule="auto"/>
        <w:jc w:val="center"/>
        <w:rPr>
          <w:b/>
        </w:rPr>
      </w:pPr>
      <w:r>
        <w:rPr>
          <w:b/>
        </w:rPr>
        <w:t>TISKOVÁ ZPRÁVA</w:t>
      </w:r>
    </w:p>
    <w:p w:rsidR="00D0045D" w:rsidRDefault="00D0045D" w:rsidP="00CB5BB7">
      <w:pPr>
        <w:spacing w:line="360" w:lineRule="auto"/>
        <w:jc w:val="both"/>
        <w:rPr>
          <w:b/>
        </w:rPr>
      </w:pPr>
    </w:p>
    <w:p w:rsidR="00A96CA9" w:rsidRDefault="00CB5BB7" w:rsidP="00A96CA9">
      <w:pPr>
        <w:spacing w:line="360" w:lineRule="auto"/>
        <w:ind w:firstLine="708"/>
        <w:jc w:val="both"/>
      </w:pPr>
      <w:r>
        <w:t xml:space="preserve">V pondělí 13. července 2020 </w:t>
      </w:r>
      <w:r w:rsidR="00D0045D">
        <w:t xml:space="preserve">předložil vládě ČR ministr obrany Lubomír </w:t>
      </w:r>
      <w:proofErr w:type="spellStart"/>
      <w:r w:rsidR="00D0045D">
        <w:t>Metnar</w:t>
      </w:r>
      <w:proofErr w:type="spellEnd"/>
      <w:r w:rsidR="00D0045D">
        <w:t xml:space="preserve"> informaci o veřejné zakázce. </w:t>
      </w:r>
      <w:r w:rsidR="00D0045D" w:rsidRPr="00D0045D">
        <w:rPr>
          <w:b/>
        </w:rPr>
        <w:t>Pozáruční servis Stálé vojenské spojovací sítě (SVSS) a Vojenské digitální sítě integrovaných služeb (VDSIS).</w:t>
      </w:r>
      <w:r w:rsidR="00A96CA9">
        <w:rPr>
          <w:b/>
        </w:rPr>
        <w:t xml:space="preserve"> </w:t>
      </w:r>
    </w:p>
    <w:p w:rsidR="00D0045D" w:rsidRPr="00A96CA9" w:rsidRDefault="00A96CA9" w:rsidP="00A96CA9">
      <w:pPr>
        <w:spacing w:line="360" w:lineRule="auto"/>
        <w:ind w:firstLine="708"/>
        <w:jc w:val="both"/>
      </w:pPr>
      <w:r>
        <w:t xml:space="preserve">Předmětem veřejné </w:t>
      </w:r>
      <w:r w:rsidRPr="00A96CA9">
        <w:t>zakázky je zajištění komplexního pozáručního servisu hlasových služeb stacionární vojenské spojovací sítě, jejíž nosnou technologií jsou telefonní ústředny Alcatel, dohledové systémy, včetně zdrojů napájení v souladu s příslušnými technickými podmínkami a normami.</w:t>
      </w:r>
    </w:p>
    <w:p w:rsidR="00D0045D" w:rsidRDefault="00A96CA9" w:rsidP="00A96CA9">
      <w:pPr>
        <w:spacing w:line="360" w:lineRule="auto"/>
        <w:ind w:firstLine="708"/>
        <w:jc w:val="both"/>
      </w:pPr>
      <w:r>
        <w:t>Díky její realizací</w:t>
      </w:r>
      <w:r w:rsidRPr="00A96CA9">
        <w:t xml:space="preserve"> bude zajištěn bezporucho</w:t>
      </w:r>
      <w:r>
        <w:t>vý provoz hlasových služeb v res</w:t>
      </w:r>
      <w:r w:rsidRPr="00A96CA9">
        <w:t>ortu MO do 30. 11. 2023.</w:t>
      </w:r>
      <w:r w:rsidRPr="00A96CA9">
        <w:t xml:space="preserve"> </w:t>
      </w:r>
      <w:r w:rsidRPr="00A96CA9">
        <w:t xml:space="preserve">Předpokládaná hodnota </w:t>
      </w:r>
      <w:r w:rsidR="00510E18">
        <w:t>zakázky</w:t>
      </w:r>
      <w:r w:rsidRPr="00A96CA9">
        <w:t xml:space="preserve"> je 69,85 mil. Kč bez DPH a vychází ze zkušeností získaných podle cen předchozí smlouvy navýšených o inflaci, cen odpovídajících služeb na trhu ČR a zahrnuje veškeré náklady dodavatele</w:t>
      </w:r>
      <w:r w:rsidRPr="00A96CA9">
        <w:t xml:space="preserve"> spojené se zajištěním závazku. </w:t>
      </w:r>
      <w:r w:rsidRPr="00A96CA9">
        <w:t>Veřejná zakázka je zadávaná v užším řízení podle § 58 zákona 134/2016, což je forma veřejné soutěže.</w:t>
      </w:r>
    </w:p>
    <w:p w:rsidR="00DD4BCD" w:rsidRDefault="00950F7A" w:rsidP="00DD4BCD">
      <w:pPr>
        <w:spacing w:line="360" w:lineRule="auto"/>
        <w:ind w:firstLine="708"/>
        <w:jc w:val="both"/>
      </w:pPr>
      <w:r>
        <w:t>Vláda dále</w:t>
      </w:r>
      <w:r w:rsidR="00B70CA3">
        <w:t xml:space="preserve"> schválila </w:t>
      </w:r>
      <w:r w:rsidR="00B70CA3" w:rsidRPr="00B70CA3">
        <w:rPr>
          <w:b/>
        </w:rPr>
        <w:t>návrh na vyslovení souhlasu s přelety a průjezdy ozbrojených sil jiných států přes úze</w:t>
      </w:r>
      <w:r w:rsidR="00DD4BCD">
        <w:rPr>
          <w:b/>
        </w:rPr>
        <w:t xml:space="preserve">mí České republiky v roce 2021. </w:t>
      </w:r>
      <w:r w:rsidR="00B70CA3" w:rsidRPr="00B70CA3">
        <w:t>Předmětem materiálu je základní informace o standardním schvalovacím procesu při přeletech a průjezdech ozbrojených sil jiných států přes území České republiky podle Ústavy České republiky.</w:t>
      </w:r>
      <w:r w:rsidR="00B70CA3">
        <w:t xml:space="preserve"> </w:t>
      </w:r>
      <w:r w:rsidR="00DD4BCD">
        <w:t xml:space="preserve">Materiál bude nyní předložen oběma komorám Parlamentu ČR. </w:t>
      </w:r>
    </w:p>
    <w:p w:rsidR="00DD4BCD" w:rsidRPr="00DD4BCD" w:rsidRDefault="00DD4BCD" w:rsidP="00DD4BCD">
      <w:pPr>
        <w:spacing w:line="360" w:lineRule="auto"/>
        <w:ind w:firstLine="708"/>
        <w:jc w:val="both"/>
        <w:rPr>
          <w:b/>
        </w:rPr>
      </w:pPr>
      <w:r>
        <w:t>V</w:t>
      </w:r>
      <w:r w:rsidR="00B70CA3">
        <w:t xml:space="preserve">láda </w:t>
      </w:r>
      <w:r>
        <w:t xml:space="preserve">povolila </w:t>
      </w:r>
      <w:r w:rsidRPr="00DD4BCD">
        <w:t xml:space="preserve">přelety a průjezdy ozbrojeným silám států Evropské unie, které ratifikovaly smlouvu </w:t>
      </w:r>
      <w:proofErr w:type="spellStart"/>
      <w:r w:rsidRPr="00DD4BCD">
        <w:t>Europ</w:t>
      </w:r>
      <w:r>
        <w:t>ean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Agency</w:t>
      </w:r>
      <w:proofErr w:type="spellEnd"/>
      <w:r>
        <w:t>. Dále povolila</w:t>
      </w:r>
      <w:r w:rsidRPr="00DD4BCD">
        <w:t xml:space="preserve"> uskutečnit přelety a průjezdy ozbroj</w:t>
      </w:r>
      <w:r>
        <w:t>eným silám členských států NATO</w:t>
      </w:r>
      <w:r w:rsidRPr="00DD4BCD">
        <w:t xml:space="preserve"> a státům zúčastněným v programu Partnerství pro mír (</w:t>
      </w:r>
      <w:proofErr w:type="spellStart"/>
      <w:r w:rsidRPr="00DD4BCD">
        <w:t>PfP</w:t>
      </w:r>
      <w:proofErr w:type="spellEnd"/>
      <w:r w:rsidRPr="00DD4BCD">
        <w:t>). V neposlední řadě i státům, s nimiž Česká republika udržuje partnerské vztahy. Povolení přeletu bude možno udělit také pro ozbrojené síly ostatních států, ale pouze za předpokladu souhlasného stanoviska Ministerstva zahraničních věcí.</w:t>
      </w:r>
    </w:p>
    <w:p w:rsidR="00DD4BCD" w:rsidRDefault="00DD4BCD" w:rsidP="00BF0EA0">
      <w:pPr>
        <w:spacing w:line="360" w:lineRule="auto"/>
        <w:ind w:firstLine="708"/>
        <w:jc w:val="both"/>
      </w:pPr>
      <w:r>
        <w:t xml:space="preserve">Materiál prošel bez rozporu užším meziresortním připomínkovým řízením a je zcela v souladu </w:t>
      </w:r>
      <w:r>
        <w:t>s provedenou analýzou ministerstva obrany ke stávající právní úpravě uvedené problematiky</w:t>
      </w:r>
      <w:r>
        <w:t>, kterou vláda</w:t>
      </w:r>
      <w:r>
        <w:t xml:space="preserve"> vzala na vědomí svým usnesením </w:t>
      </w:r>
      <w:r>
        <w:t>v</w:t>
      </w:r>
      <w:r>
        <w:t xml:space="preserve"> červenc</w:t>
      </w:r>
      <w:r>
        <w:t>i</w:t>
      </w:r>
      <w:r>
        <w:t xml:space="preserve"> 2015.</w:t>
      </w:r>
      <w:r w:rsidR="00BF0EA0">
        <w:t xml:space="preserve"> </w:t>
      </w:r>
      <w:r>
        <w:t>Sch</w:t>
      </w:r>
      <w:r>
        <w:t>válením uvedeného postupu</w:t>
      </w:r>
      <w:r>
        <w:t xml:space="preserve"> </w:t>
      </w:r>
      <w:r>
        <w:t xml:space="preserve">bude </w:t>
      </w:r>
      <w:r>
        <w:t xml:space="preserve">Česká republika v dané oblasti u našich spojenců vnímána </w:t>
      </w:r>
      <w:r>
        <w:t xml:space="preserve">nadále </w:t>
      </w:r>
      <w:r>
        <w:t xml:space="preserve">jako spolehlivý a důvěryhodný partner. </w:t>
      </w:r>
    </w:p>
    <w:p w:rsidR="00950F7A" w:rsidRDefault="00950F7A" w:rsidP="00950F7A">
      <w:pPr>
        <w:spacing w:line="360" w:lineRule="auto"/>
        <w:ind w:firstLine="708"/>
        <w:jc w:val="both"/>
      </w:pPr>
      <w:r>
        <w:t xml:space="preserve">Ministr </w:t>
      </w:r>
      <w:proofErr w:type="spellStart"/>
      <w:r>
        <w:t>Metnar</w:t>
      </w:r>
      <w:proofErr w:type="spellEnd"/>
      <w:r>
        <w:t xml:space="preserve"> také předložil vládě materiál k </w:t>
      </w:r>
      <w:r>
        <w:rPr>
          <w:b/>
        </w:rPr>
        <w:t>v</w:t>
      </w:r>
      <w:r w:rsidRPr="00950F7A">
        <w:rPr>
          <w:b/>
        </w:rPr>
        <w:t xml:space="preserve">yhodnocení </w:t>
      </w:r>
      <w:r w:rsidRPr="00950F7A">
        <w:rPr>
          <w:b/>
        </w:rPr>
        <w:t>opatření přij</w:t>
      </w:r>
      <w:r w:rsidRPr="00950F7A">
        <w:rPr>
          <w:b/>
        </w:rPr>
        <w:t xml:space="preserve">atých ke Kontrolnímu závěru NKÚ </w:t>
      </w:r>
      <w:r w:rsidRPr="00950F7A">
        <w:rPr>
          <w:b/>
        </w:rPr>
        <w:t>z kontrolní akce č. 18/02</w:t>
      </w:r>
      <w:r w:rsidRPr="00950F7A">
        <w:rPr>
          <w:b/>
        </w:rPr>
        <w:t xml:space="preserve"> </w:t>
      </w:r>
      <w:r w:rsidRPr="00950F7A">
        <w:rPr>
          <w:b/>
        </w:rPr>
        <w:t xml:space="preserve">„Nemovitý majetek a peněžní prostředky státu související s tímto majetkem určené na zabezpečení úkolů Armády </w:t>
      </w:r>
      <w:r w:rsidRPr="00950F7A">
        <w:rPr>
          <w:b/>
        </w:rPr>
        <w:lastRenderedPageBreak/>
        <w:t>České republiky“</w:t>
      </w:r>
      <w:r>
        <w:rPr>
          <w:b/>
        </w:rPr>
        <w:t xml:space="preserve">. </w:t>
      </w:r>
      <w:r w:rsidR="005457A1">
        <w:t>M</w:t>
      </w:r>
      <w:r w:rsidR="005457A1" w:rsidRPr="005457A1">
        <w:t xml:space="preserve">inisterstvo </w:t>
      </w:r>
      <w:r w:rsidR="005457A1">
        <w:t xml:space="preserve">obrany </w:t>
      </w:r>
      <w:r w:rsidR="005457A1" w:rsidRPr="005457A1">
        <w:t>přijalo kontrolní akci a přístup kontrolorů NKÚ jako pomoc k zefektivnění péče o nemovitou infrastrukturu</w:t>
      </w:r>
      <w:r w:rsidR="005457A1">
        <w:t xml:space="preserve"> a r</w:t>
      </w:r>
      <w:bookmarkStart w:id="0" w:name="_GoBack"/>
      <w:bookmarkEnd w:id="0"/>
      <w:r>
        <w:t xml:space="preserve">eagovalo a reaguje na veškerá negativní </w:t>
      </w:r>
      <w:r>
        <w:t>zjištění a slabá místa, na které by</w:t>
      </w:r>
      <w:r w:rsidR="00684469">
        <w:t xml:space="preserve">lo upozorněno. Přijatá opatření </w:t>
      </w:r>
      <w:r>
        <w:t>jsou systémová, se stanovenými prioritami a jsou postupně plněna.</w:t>
      </w:r>
      <w:r w:rsidR="005457A1">
        <w:t xml:space="preserve"> </w:t>
      </w:r>
      <w:r w:rsidR="005457A1">
        <w:t xml:space="preserve">NKÚ </w:t>
      </w:r>
      <w:r w:rsidR="005457A1">
        <w:t xml:space="preserve">je </w:t>
      </w:r>
      <w:r w:rsidR="005457A1">
        <w:t xml:space="preserve">ve svém stanovisku </w:t>
      </w:r>
      <w:r w:rsidR="005457A1">
        <w:t xml:space="preserve">vyhodnotil </w:t>
      </w:r>
      <w:r w:rsidR="005457A1">
        <w:t xml:space="preserve">jako dostatečná. </w:t>
      </w:r>
      <w:r>
        <w:t xml:space="preserve">Pozvolný náběh plnění </w:t>
      </w:r>
      <w:r w:rsidR="005457A1">
        <w:t xml:space="preserve">některých z nich </w:t>
      </w:r>
      <w:r>
        <w:t>je ovlivněn zejména předcházejícím dlouhodobým podfinancováním potřeb nemovité infrastruktury souvisejících s údržbou, rekonstrukcí a modernizací vojenských objektů a zařízení.</w:t>
      </w:r>
      <w:r>
        <w:t xml:space="preserve"> </w:t>
      </w:r>
    </w:p>
    <w:p w:rsidR="00684469" w:rsidRDefault="005457A1" w:rsidP="00950F7A">
      <w:pPr>
        <w:spacing w:line="360" w:lineRule="auto"/>
        <w:ind w:firstLine="708"/>
        <w:jc w:val="both"/>
      </w:pPr>
      <w:r>
        <w:t xml:space="preserve">Stanovená opatření </w:t>
      </w:r>
      <w:r w:rsidR="00950F7A">
        <w:t>reagují na nové potřeby za změněných podmínek, např. zvýšení rozpočtových prostředků,</w:t>
      </w:r>
      <w:r w:rsidR="00950F7A">
        <w:t xml:space="preserve"> a na nové požadavky stanovené </w:t>
      </w:r>
      <w:r w:rsidR="00950F7A">
        <w:t xml:space="preserve">v aktualizovaných strategických a koncepčních dokumentech Dlouhodobý výhled pro obranu 2035 a Koncepce výstavby AČR 2030. </w:t>
      </w:r>
      <w:r w:rsidR="00950F7A">
        <w:t xml:space="preserve">V rámci opatření byla </w:t>
      </w:r>
      <w:r>
        <w:t xml:space="preserve">také </w:t>
      </w:r>
      <w:r w:rsidR="00950F7A">
        <w:t>schválena v květnu 2020</w:t>
      </w:r>
      <w:r w:rsidR="00684469">
        <w:t xml:space="preserve"> historicky první Koncepce</w:t>
      </w:r>
      <w:r w:rsidR="00950F7A">
        <w:t xml:space="preserve"> rozvoje a udržování nemovité infrastruktury v působnosti Ministerstva obrany na roky 2020 – 2035</w:t>
      </w:r>
      <w:r w:rsidR="00684469">
        <w:t xml:space="preserve">. Jejím hlavním cílem </w:t>
      </w:r>
      <w:r w:rsidR="00684469" w:rsidRPr="00684469">
        <w:t>je zajistit snížení zanedbanosti nemovité infrastruktury.</w:t>
      </w:r>
    </w:p>
    <w:p w:rsidR="00950F7A" w:rsidRDefault="00950F7A" w:rsidP="005457A1">
      <w:pPr>
        <w:spacing w:line="360" w:lineRule="auto"/>
        <w:ind w:firstLine="708"/>
        <w:jc w:val="both"/>
      </w:pPr>
      <w:r>
        <w:t>Celkově lze shrnout, že většina opatření byla splněna a ta, pro jejichž splnění je potřebný delší časový horizont nebo jsou trvale platná, jsou průběžně plněna.</w:t>
      </w:r>
      <w:r w:rsidR="005457A1">
        <w:t xml:space="preserve"> </w:t>
      </w:r>
    </w:p>
    <w:p w:rsidR="00950F7A" w:rsidRDefault="00950F7A"/>
    <w:p w:rsidR="00950F7A" w:rsidRDefault="00950F7A"/>
    <w:sectPr w:rsidR="00950F7A" w:rsidSect="009074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2EBD"/>
    <w:multiLevelType w:val="hybridMultilevel"/>
    <w:tmpl w:val="9C6EC420"/>
    <w:lvl w:ilvl="0" w:tplc="4CA0004A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C460C"/>
    <w:multiLevelType w:val="hybridMultilevel"/>
    <w:tmpl w:val="809A25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7"/>
    <w:rsid w:val="00510E18"/>
    <w:rsid w:val="005457A1"/>
    <w:rsid w:val="00684469"/>
    <w:rsid w:val="006D6392"/>
    <w:rsid w:val="00950F7A"/>
    <w:rsid w:val="00A96CA9"/>
    <w:rsid w:val="00B70CA3"/>
    <w:rsid w:val="00BF0EA0"/>
    <w:rsid w:val="00CB5BB7"/>
    <w:rsid w:val="00D0045D"/>
    <w:rsid w:val="00D83775"/>
    <w:rsid w:val="00D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41B0"/>
  <w15:chartTrackingRefBased/>
  <w15:docId w15:val="{08953F75-AEE3-4E78-8EAB-E649942C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CB5BB7"/>
    <w:rPr>
      <w:lang w:val="de-DE"/>
    </w:rPr>
  </w:style>
  <w:style w:type="paragraph" w:customStyle="1" w:styleId="Standard">
    <w:name w:val="Standard"/>
    <w:qFormat/>
    <w:rsid w:val="00CB5BB7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paragraph" w:customStyle="1" w:styleId="Bullet1">
    <w:name w:val="Bullet 1"/>
    <w:basedOn w:val="Normln"/>
    <w:qFormat/>
    <w:rsid w:val="00950F7A"/>
    <w:pPr>
      <w:numPr>
        <w:numId w:val="1"/>
      </w:numPr>
      <w:tabs>
        <w:tab w:val="left" w:pos="284"/>
      </w:tabs>
      <w:spacing w:after="2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2020-07-13T12:12:00Z</dcterms:created>
  <dcterms:modified xsi:type="dcterms:W3CDTF">2020-07-13T13:24:00Z</dcterms:modified>
</cp:coreProperties>
</file>