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30" w:rsidRDefault="00AB2B30" w:rsidP="00C45F31">
      <w:pPr>
        <w:jc w:val="center"/>
        <w:rPr>
          <w:rFonts w:ascii="Times New Roman" w:hAnsi="Times New Roman"/>
          <w:b/>
          <w:sz w:val="28"/>
        </w:rPr>
      </w:pPr>
    </w:p>
    <w:p w:rsidR="00AB2B30" w:rsidRDefault="00AB2B30" w:rsidP="008564A3">
      <w:pPr>
        <w:pStyle w:val="ListParagraph"/>
        <w:ind w:left="0"/>
        <w:jc w:val="center"/>
        <w:rPr>
          <w:rFonts w:ascii="Times New Roman" w:hAnsi="Times New Roman"/>
          <w:b/>
          <w:sz w:val="44"/>
        </w:rPr>
      </w:pPr>
      <w:r w:rsidRPr="00B21581">
        <w:rPr>
          <w:rFonts w:ascii="Times New Roman" w:hAnsi="Times New Roman"/>
          <w:b/>
          <w:sz w:val="44"/>
        </w:rPr>
        <w:t>Marketingový průzku</w:t>
      </w:r>
      <w:r>
        <w:rPr>
          <w:rFonts w:ascii="Times New Roman" w:hAnsi="Times New Roman"/>
          <w:b/>
          <w:sz w:val="44"/>
        </w:rPr>
        <w:t>m</w:t>
      </w:r>
    </w:p>
    <w:p w:rsidR="00AB2B30" w:rsidRDefault="00AB2B30" w:rsidP="008564A3">
      <w:pPr>
        <w:pStyle w:val="ListParagraph"/>
        <w:ind w:left="0"/>
        <w:jc w:val="center"/>
        <w:rPr>
          <w:rFonts w:ascii="Times New Roman" w:hAnsi="Times New Roman"/>
          <w:b/>
          <w:sz w:val="44"/>
        </w:rPr>
      </w:pPr>
    </w:p>
    <w:p w:rsidR="00AB2B30" w:rsidRDefault="00AB2B30" w:rsidP="008564A3">
      <w:pPr>
        <w:pStyle w:val="ListParagraph"/>
        <w:ind w:left="0"/>
        <w:jc w:val="center"/>
        <w:rPr>
          <w:rFonts w:ascii="Times New Roman" w:hAnsi="Times New Roman"/>
          <w:sz w:val="24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15pt;margin-top:-24.8pt;width:406.6pt;height:36.3pt;z-index:251658240" fillcolor="#9ed561">
            <v:textbox style="mso-next-textbox:#_x0000_s1026">
              <w:txbxContent>
                <w:p w:rsidR="00AB2B30" w:rsidRPr="002A396B" w:rsidRDefault="00AB2B30" w:rsidP="008564A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2A396B">
                    <w:rPr>
                      <w:rFonts w:ascii="Times New Roman tucné" w:hAnsi="Times New Roman tucné"/>
                      <w:imprint/>
                      <w:sz w:val="36"/>
                    </w:rPr>
                    <w:t>„</w:t>
                  </w:r>
                  <w:r w:rsidRPr="008564A3">
                    <w:rPr>
                      <w:rFonts w:ascii="Times New Roman tucné" w:hAnsi="Times New Roman tucné"/>
                      <w:imprint/>
                      <w:sz w:val="36"/>
                    </w:rPr>
                    <w:t>Studie proveditelnosti integrace resortních APV</w:t>
                  </w:r>
                  <w:r w:rsidRPr="002A396B">
                    <w:rPr>
                      <w:rFonts w:ascii="Times New Roman tucné" w:hAnsi="Times New Roman tucné"/>
                      <w:imprint/>
                      <w:sz w:val="36"/>
                    </w:rPr>
                    <w:t>“</w:t>
                  </w:r>
                </w:p>
                <w:p w:rsidR="00AB2B30" w:rsidRDefault="00AB2B30" w:rsidP="008564A3">
                  <w:pPr>
                    <w:jc w:val="center"/>
                  </w:pPr>
                </w:p>
              </w:txbxContent>
            </v:textbox>
          </v:shape>
        </w:pict>
      </w:r>
    </w:p>
    <w:p w:rsidR="00AB2B30" w:rsidRPr="002041BE" w:rsidRDefault="00AB2B30" w:rsidP="002041BE">
      <w:pPr>
        <w:pStyle w:val="ListParagraph"/>
        <w:ind w:left="0"/>
        <w:jc w:val="center"/>
        <w:rPr>
          <w:rFonts w:ascii="Times New Roman" w:hAnsi="Times New Roman"/>
        </w:rPr>
      </w:pPr>
      <w:r w:rsidRPr="002041BE">
        <w:rPr>
          <w:rFonts w:ascii="Times New Roman" w:hAnsi="Times New Roman"/>
        </w:rPr>
        <w:t>(zelená výplň rámečku indikuje místo tohoto průzkumu</w:t>
      </w:r>
    </w:p>
    <w:p w:rsidR="00AB2B30" w:rsidRPr="002041BE" w:rsidRDefault="00AB2B30" w:rsidP="002041BE">
      <w:pPr>
        <w:pStyle w:val="ListParagraph"/>
        <w:ind w:left="0"/>
        <w:jc w:val="center"/>
        <w:rPr>
          <w:rFonts w:ascii="Times New Roman" w:hAnsi="Times New Roman"/>
        </w:rPr>
      </w:pPr>
      <w:r w:rsidRPr="002041BE">
        <w:rPr>
          <w:rFonts w:ascii="Times New Roman" w:hAnsi="Times New Roman"/>
        </w:rPr>
        <w:t>v celkovém kontextu marketingového průzkumu podle obrázku)</w:t>
      </w:r>
    </w:p>
    <w:p w:rsidR="00AB2B30" w:rsidRDefault="00AB2B30" w:rsidP="00F01E06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:rsidR="00AB2B30" w:rsidRDefault="00AB2B30" w:rsidP="00F01E06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:rsidR="00AB2B30" w:rsidRDefault="00AB2B30" w:rsidP="00F01E06">
      <w:pPr>
        <w:pStyle w:val="ListParagraph"/>
        <w:ind w:left="0"/>
        <w:jc w:val="both"/>
        <w:rPr>
          <w:rFonts w:ascii="Times New Roman" w:hAnsi="Times New Roman"/>
          <w:sz w:val="24"/>
        </w:rPr>
      </w:pPr>
      <w:r w:rsidRPr="00721D99">
        <w:rPr>
          <w:rFonts w:ascii="Times New Roman" w:hAnsi="Times New Roman"/>
          <w:noProof/>
          <w:sz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obsah marketingového průzkumu (2).JPG" style="width:448.5pt;height:237.75pt;visibility:visible">
            <v:imagedata r:id="rId7" o:title=""/>
          </v:shape>
        </w:pict>
      </w:r>
    </w:p>
    <w:p w:rsidR="00AB2B30" w:rsidRDefault="00AB2B30" w:rsidP="00D83EA6">
      <w:pPr>
        <w:pStyle w:val="U3"/>
        <w:ind w:left="426" w:hanging="426"/>
      </w:pPr>
      <w:r w:rsidRPr="00526D20">
        <w:t>Požadavky na zpracování Studie</w:t>
      </w:r>
      <w:r>
        <w:t xml:space="preserve"> proveditelnosti integrace resortních APV(dále jen Studie)</w:t>
      </w:r>
    </w:p>
    <w:p w:rsidR="00AB2B30" w:rsidRPr="003E73B5" w:rsidRDefault="00AB2B30" w:rsidP="00D83EA6">
      <w:pPr>
        <w:spacing w:after="120"/>
        <w:ind w:firstLine="349"/>
        <w:jc w:val="both"/>
        <w:rPr>
          <w:rFonts w:ascii="Times New Roman" w:hAnsi="Times New Roman"/>
          <w:sz w:val="24"/>
        </w:rPr>
      </w:pPr>
      <w:r w:rsidRPr="003E73B5">
        <w:rPr>
          <w:rFonts w:ascii="Times New Roman" w:hAnsi="Times New Roman"/>
          <w:sz w:val="24"/>
        </w:rPr>
        <w:t>Studie bude zpracovaná ve dvou krocích. První krok provede posouzení všech reálně možných strategií integrace APV (viz příloha</w:t>
      </w:r>
      <w:r>
        <w:rPr>
          <w:rFonts w:ascii="Times New Roman" w:hAnsi="Times New Roman"/>
          <w:sz w:val="24"/>
        </w:rPr>
        <w:t xml:space="preserve"> 1)</w:t>
      </w:r>
      <w:r w:rsidRPr="003E73B5">
        <w:rPr>
          <w:rFonts w:ascii="Times New Roman" w:hAnsi="Times New Roman"/>
          <w:sz w:val="24"/>
        </w:rPr>
        <w:t xml:space="preserve"> z pohledu celkových nákladů na jejich realizaci</w:t>
      </w:r>
      <w:r w:rsidRPr="00B01586">
        <w:rPr>
          <w:vertAlign w:val="superscript"/>
        </w:rPr>
        <w:footnoteReference w:id="1"/>
      </w:r>
      <w:r w:rsidRPr="003E73B5">
        <w:rPr>
          <w:rFonts w:ascii="Times New Roman" w:hAnsi="Times New Roman"/>
          <w:sz w:val="24"/>
        </w:rPr>
        <w:t>. Studie bude zpracovaná v  součinnosti s</w:t>
      </w:r>
      <w:r>
        <w:rPr>
          <w:rFonts w:ascii="Times New Roman" w:hAnsi="Times New Roman"/>
          <w:sz w:val="24"/>
        </w:rPr>
        <w:t> resortem MO</w:t>
      </w:r>
      <w:r w:rsidRPr="003E73B5">
        <w:rPr>
          <w:rFonts w:ascii="Times New Roman" w:hAnsi="Times New Roman"/>
          <w:sz w:val="24"/>
        </w:rPr>
        <w:t xml:space="preserve">. </w:t>
      </w:r>
    </w:p>
    <w:p w:rsidR="00AB2B30" w:rsidRPr="003E73B5" w:rsidRDefault="00AB2B30" w:rsidP="00D83EA6">
      <w:pPr>
        <w:spacing w:after="120"/>
        <w:ind w:firstLine="349"/>
        <w:jc w:val="both"/>
        <w:rPr>
          <w:rFonts w:ascii="Times New Roman" w:hAnsi="Times New Roman"/>
          <w:sz w:val="24"/>
        </w:rPr>
      </w:pPr>
      <w:r w:rsidRPr="003E73B5">
        <w:rPr>
          <w:rFonts w:ascii="Times New Roman" w:hAnsi="Times New Roman"/>
          <w:sz w:val="24"/>
        </w:rPr>
        <w:t xml:space="preserve">Smlouva bude uzavřena na zpracování 1. kroku Studie. Na základě </w:t>
      </w:r>
      <w:r>
        <w:rPr>
          <w:rFonts w:ascii="Times New Roman" w:hAnsi="Times New Roman"/>
          <w:sz w:val="24"/>
        </w:rPr>
        <w:t xml:space="preserve">schváleného </w:t>
      </w:r>
      <w:r w:rsidRPr="003E73B5">
        <w:rPr>
          <w:rFonts w:ascii="Times New Roman" w:hAnsi="Times New Roman"/>
          <w:sz w:val="24"/>
        </w:rPr>
        <w:t>výběru strategie integrace resortních APV bude upřesněno zadání pro 2. krok a uzavřena smlouva na zpracování 2. kroku Studie.</w:t>
      </w:r>
    </w:p>
    <w:p w:rsidR="00AB2B30" w:rsidRPr="003E73B5" w:rsidRDefault="00AB2B30" w:rsidP="00D83EA6">
      <w:pPr>
        <w:spacing w:after="120"/>
        <w:ind w:firstLine="349"/>
        <w:jc w:val="both"/>
        <w:rPr>
          <w:rFonts w:ascii="Times New Roman" w:hAnsi="Times New Roman"/>
          <w:sz w:val="24"/>
        </w:rPr>
      </w:pPr>
      <w:r w:rsidRPr="003E73B5">
        <w:rPr>
          <w:rFonts w:ascii="Times New Roman" w:hAnsi="Times New Roman"/>
          <w:sz w:val="24"/>
        </w:rPr>
        <w:t>Podrobné požadavky na zpracování Studie jsou uvedeny v</w:t>
      </w:r>
      <w:r>
        <w:rPr>
          <w:rFonts w:ascii="Times New Roman" w:hAnsi="Times New Roman"/>
          <w:sz w:val="24"/>
        </w:rPr>
        <w:t> </w:t>
      </w:r>
      <w:r w:rsidRPr="003E73B5">
        <w:rPr>
          <w:rFonts w:ascii="Times New Roman" w:hAnsi="Times New Roman"/>
          <w:sz w:val="24"/>
        </w:rPr>
        <w:t>příloze</w:t>
      </w:r>
      <w:r>
        <w:rPr>
          <w:rFonts w:ascii="Times New Roman" w:hAnsi="Times New Roman"/>
          <w:sz w:val="24"/>
        </w:rPr>
        <w:t xml:space="preserve"> 2.</w:t>
      </w:r>
    </w:p>
    <w:p w:rsidR="00AB2B30" w:rsidRDefault="00AB2B30" w:rsidP="007F0571">
      <w:pPr>
        <w:spacing w:after="0"/>
        <w:ind w:firstLine="709"/>
        <w:rPr>
          <w:rFonts w:ascii="Times New Roman" w:hAnsi="Times New Roman"/>
          <w:sz w:val="24"/>
        </w:rPr>
      </w:pPr>
    </w:p>
    <w:p w:rsidR="00AB2B30" w:rsidRDefault="00AB2B30" w:rsidP="007F0571">
      <w:pPr>
        <w:spacing w:after="0"/>
        <w:ind w:firstLine="709"/>
        <w:rPr>
          <w:rFonts w:ascii="Times New Roman" w:hAnsi="Times New Roman"/>
          <w:sz w:val="24"/>
        </w:rPr>
      </w:pPr>
    </w:p>
    <w:p w:rsidR="00AB2B30" w:rsidRDefault="00AB2B30" w:rsidP="007F0571">
      <w:pPr>
        <w:spacing w:after="0"/>
        <w:ind w:firstLine="709"/>
        <w:rPr>
          <w:rFonts w:ascii="Times New Roman" w:hAnsi="Times New Roman"/>
          <w:sz w:val="24"/>
        </w:rPr>
      </w:pPr>
    </w:p>
    <w:p w:rsidR="00AB2B30" w:rsidRDefault="00AB2B30" w:rsidP="007F0571">
      <w:pPr>
        <w:spacing w:after="0"/>
        <w:ind w:firstLine="709"/>
        <w:rPr>
          <w:rFonts w:ascii="Times New Roman" w:hAnsi="Times New Roman"/>
          <w:sz w:val="24"/>
        </w:rPr>
      </w:pPr>
    </w:p>
    <w:p w:rsidR="00AB2B30" w:rsidRDefault="00AB2B30" w:rsidP="007F0571">
      <w:pPr>
        <w:spacing w:after="0"/>
        <w:ind w:firstLine="709"/>
        <w:rPr>
          <w:rFonts w:ascii="Times New Roman" w:hAnsi="Times New Roman"/>
          <w:sz w:val="24"/>
        </w:rPr>
      </w:pPr>
    </w:p>
    <w:p w:rsidR="00AB2B30" w:rsidRDefault="00AB2B30" w:rsidP="007F0571">
      <w:pPr>
        <w:spacing w:after="0"/>
        <w:ind w:firstLine="709"/>
        <w:rPr>
          <w:rFonts w:ascii="Times New Roman" w:hAnsi="Times New Roman"/>
          <w:sz w:val="24"/>
        </w:rPr>
      </w:pPr>
    </w:p>
    <w:p w:rsidR="00AB2B30" w:rsidRPr="00526D20" w:rsidRDefault="00AB2B30" w:rsidP="00D83EA6">
      <w:pPr>
        <w:pStyle w:val="U3"/>
        <w:ind w:left="426" w:hanging="426"/>
      </w:pPr>
      <w:r w:rsidRPr="00526D20">
        <w:t xml:space="preserve">Požadavky na </w:t>
      </w:r>
      <w:r>
        <w:t xml:space="preserve">potenciální zpracovatele </w:t>
      </w:r>
      <w:r w:rsidRPr="00526D20">
        <w:t>Studie</w:t>
      </w:r>
    </w:p>
    <w:p w:rsidR="00AB2B30" w:rsidRDefault="00AB2B30" w:rsidP="00D83EA6">
      <w:pPr>
        <w:spacing w:after="120"/>
        <w:ind w:firstLine="349"/>
        <w:jc w:val="both"/>
        <w:rPr>
          <w:rFonts w:ascii="Times New Roman" w:hAnsi="Times New Roman"/>
          <w:sz w:val="24"/>
        </w:rPr>
      </w:pPr>
      <w:r w:rsidRPr="00D83EA6">
        <w:rPr>
          <w:rFonts w:ascii="Times New Roman" w:hAnsi="Times New Roman"/>
          <w:sz w:val="24"/>
        </w:rPr>
        <w:t>Okruh možných zpracovatelů studie by měl zahrnovat společnosti, zabývající se konzultační a poradenskou činností, systémovou integraci na platformě SOA, dodávkou integračních platforem a integrovaných SW řešení</w:t>
      </w:r>
      <w:r>
        <w:rPr>
          <w:rFonts w:ascii="Times New Roman" w:hAnsi="Times New Roman"/>
          <w:sz w:val="24"/>
        </w:rPr>
        <w:t>.</w:t>
      </w:r>
    </w:p>
    <w:p w:rsidR="00AB2B30" w:rsidRDefault="00AB2B30" w:rsidP="00D83EA6">
      <w:pPr>
        <w:spacing w:after="120"/>
        <w:ind w:firstLine="349"/>
        <w:jc w:val="both"/>
        <w:rPr>
          <w:rFonts w:ascii="Times New Roman" w:hAnsi="Times New Roman"/>
          <w:sz w:val="24"/>
        </w:rPr>
      </w:pPr>
      <w:r w:rsidRPr="00D83EA6">
        <w:rPr>
          <w:rFonts w:ascii="Times New Roman" w:hAnsi="Times New Roman"/>
          <w:sz w:val="24"/>
        </w:rPr>
        <w:t>Preferujeme zkušenou společnost, která</w:t>
      </w:r>
      <w:r>
        <w:rPr>
          <w:rFonts w:ascii="Times New Roman" w:hAnsi="Times New Roman"/>
          <w:sz w:val="24"/>
        </w:rPr>
        <w:t xml:space="preserve"> má zkušenosti s právním prostředím v ČR</w:t>
      </w:r>
      <w:r w:rsidRPr="00D83EA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státní správou a resortem obrany. </w:t>
      </w:r>
    </w:p>
    <w:p w:rsidR="00AB2B30" w:rsidRPr="00D83EA6" w:rsidRDefault="00AB2B30" w:rsidP="00D83EA6">
      <w:pPr>
        <w:spacing w:after="120"/>
        <w:ind w:firstLine="349"/>
        <w:jc w:val="both"/>
        <w:rPr>
          <w:rFonts w:ascii="Times New Roman" w:hAnsi="Times New Roman"/>
          <w:sz w:val="24"/>
        </w:rPr>
      </w:pPr>
      <w:r w:rsidRPr="00D83EA6">
        <w:rPr>
          <w:rFonts w:ascii="Times New Roman" w:hAnsi="Times New Roman"/>
          <w:sz w:val="24"/>
        </w:rPr>
        <w:t xml:space="preserve">Z důvodu možné podjatosti potenciálním zpracovatelem studie nemůže být potenciální dodavatel integrovaného APV podle strategie INSIDE a OUTSIDE BOX.  </w:t>
      </w:r>
    </w:p>
    <w:p w:rsidR="00AB2B30" w:rsidRDefault="00AB2B30" w:rsidP="00462141">
      <w:pPr>
        <w:spacing w:after="0"/>
        <w:jc w:val="both"/>
        <w:rPr>
          <w:rFonts w:ascii="Times New Roman" w:hAnsi="Times New Roman"/>
          <w:sz w:val="24"/>
        </w:rPr>
      </w:pPr>
    </w:p>
    <w:p w:rsidR="00AB2B30" w:rsidRDefault="00AB2B30" w:rsidP="00D83EA6">
      <w:pPr>
        <w:pStyle w:val="ListParagraph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b/>
          <w:sz w:val="24"/>
        </w:rPr>
      </w:pPr>
      <w:r w:rsidRPr="005413FC">
        <w:rPr>
          <w:rFonts w:ascii="Times New Roman" w:hAnsi="Times New Roman"/>
          <w:b/>
          <w:sz w:val="24"/>
        </w:rPr>
        <w:t>Otázky na potenciální zpracovatele Studie proveditelnosti</w:t>
      </w:r>
      <w:r>
        <w:rPr>
          <w:rFonts w:ascii="Times New Roman" w:hAnsi="Times New Roman"/>
          <w:b/>
          <w:sz w:val="24"/>
        </w:rPr>
        <w:t xml:space="preserve"> </w:t>
      </w:r>
    </w:p>
    <w:p w:rsidR="00AB2B30" w:rsidRDefault="00AB2B30" w:rsidP="008F105D">
      <w:pPr>
        <w:spacing w:after="0"/>
        <w:rPr>
          <w:rFonts w:ascii="Times New Roman" w:hAnsi="Times New Roman"/>
          <w:b/>
          <w:sz w:val="24"/>
        </w:rPr>
      </w:pPr>
    </w:p>
    <w:p w:rsidR="00AB2B30" w:rsidRPr="00415B3C" w:rsidRDefault="00AB2B30" w:rsidP="00415B3C">
      <w:pPr>
        <w:jc w:val="both"/>
        <w:rPr>
          <w:rFonts w:ascii="Times New Roman" w:hAnsi="Times New Roman"/>
          <w:i/>
          <w:sz w:val="24"/>
        </w:rPr>
      </w:pPr>
      <w:r w:rsidRPr="00415B3C">
        <w:rPr>
          <w:rFonts w:ascii="Times New Roman" w:hAnsi="Times New Roman"/>
          <w:i/>
          <w:sz w:val="24"/>
        </w:rPr>
        <w:t>Odpověď na uvedené otázky nebude jednoduchá a respondent na jejich zodpovězení bude muset vynaložit určité úsilí. Nepožadujeme po respondentech nutně odpovědět na všechny otázky. Oceníme i odpovědi, které nebudou úplné.</w:t>
      </w:r>
    </w:p>
    <w:p w:rsidR="00AB2B30" w:rsidRDefault="00AB2B30" w:rsidP="00B21581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Jaké jsou vaše reference a kompetence ke zpracování Studie proveditelnosti integrace resortních APV?</w:t>
      </w:r>
    </w:p>
    <w:p w:rsidR="00AB2B30" w:rsidRPr="00A30DD9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Jakou metodiku používáte pro sběr, analýzu uživatelských požadavků a návrh IT podpory procesům organizace (např. TOGAF 9.1., Zachman, …) a jaký jazyk pro Bussiness Analýzu (např. BPMN, ArchiMate, …)</w:t>
      </w:r>
      <w:r>
        <w:rPr>
          <w:rFonts w:ascii="Times New Roman" w:hAnsi="Times New Roman"/>
          <w:sz w:val="24"/>
          <w:lang w:val="en-US"/>
        </w:rPr>
        <w:t>?</w:t>
      </w:r>
    </w:p>
    <w:p w:rsidR="00AB2B30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Jaký SW nástroj používáte ke zpracování Bussiness Analýzy a Enterprise architektury?</w:t>
      </w:r>
    </w:p>
    <w:p w:rsidR="00AB2B30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Jakou strategii integrace APV (viz. příloha 1) resortu MO obecně doporučujete?</w:t>
      </w:r>
    </w:p>
    <w:p w:rsidR="00AB2B30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Jaký je nezbytný rozsah vlastnických práv k stávajícím APV, které by resort MO musel získat od dodavatelů těchto APV, aby bylo možno realizovat integrační strategii BLACK BOX?</w:t>
      </w:r>
    </w:p>
    <w:p w:rsidR="00AB2B30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Jakou metodu navrhujete použít pro zpracování Studie, jakou doporučujete formu a obsah?</w:t>
      </w:r>
    </w:p>
    <w:p w:rsidR="00AB2B30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 navrhujete zpracovat úplnou kalkulaci nákladů na realizaci jednotlivých strategií integrace?</w:t>
      </w:r>
    </w:p>
    <w:p w:rsidR="00AB2B30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Jaké další faktory navrhujete využít pro porovnání jednotlivých strategií integrace a zpracování doporučení pro resort jako výsledek 1. kroku Strategie (např. rizikovost, časová náročnost, ochrana investic, ….) a jak jim chcete přiřadit váhové koeficienty?</w:t>
      </w:r>
    </w:p>
    <w:p w:rsidR="00AB2B30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Jaká bude časová náročnost pro zpracování 1. kroku Studie?</w:t>
      </w:r>
    </w:p>
    <w:p w:rsidR="00AB2B30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Kolik pracovníků by mělo na 1. kroku Studie pracovat, jaké by měli mít portfolio kompetencí a schopností?</w:t>
      </w:r>
    </w:p>
    <w:p w:rsidR="00AB2B30" w:rsidRPr="004A5B99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Jaká by měla být spolupráce se zadavatelem Studie při zpracování 1. kroku, </w:t>
      </w:r>
      <w:r w:rsidRPr="004A5B99">
        <w:rPr>
          <w:rFonts w:ascii="Times New Roman" w:hAnsi="Times New Roman"/>
          <w:sz w:val="24"/>
        </w:rPr>
        <w:t xml:space="preserve">jaké budou požadavky </w:t>
      </w:r>
      <w:r>
        <w:rPr>
          <w:rFonts w:ascii="Times New Roman" w:hAnsi="Times New Roman"/>
          <w:sz w:val="24"/>
        </w:rPr>
        <w:t>n</w:t>
      </w:r>
      <w:r w:rsidRPr="004A5B99">
        <w:rPr>
          <w:rFonts w:ascii="Times New Roman" w:hAnsi="Times New Roman"/>
          <w:sz w:val="24"/>
        </w:rPr>
        <w:t>a rozsah zapojení pracovníků MO</w:t>
      </w:r>
      <w:r>
        <w:rPr>
          <w:rFonts w:ascii="Times New Roman" w:hAnsi="Times New Roman"/>
          <w:sz w:val="24"/>
        </w:rPr>
        <w:t>?</w:t>
      </w:r>
    </w:p>
    <w:p w:rsidR="00AB2B30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Jaká by měla být cena 1. kroku Studie?</w:t>
      </w:r>
    </w:p>
    <w:p w:rsidR="00AB2B30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jakém rozsahu a v jaké formě by mělo být resortem MO upřesněno zadání zpracovateli Studie pro realizaci 2. kroku pro jednotlivé možné strategie integrace APV?</w:t>
      </w:r>
    </w:p>
    <w:p w:rsidR="00AB2B30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Jaký stupeň rozpracovanosti Business Analýzy požadovaného cílového řešení považujete za dostatečný k ohodnocení jeho pracnosti a nákladnosti? Považujete tento stupeň rozpracovanosti za dostatečný pro vytvoření úplné zadávací dokumentace pro dodavatele nového proprietárního APV (Strategie INSIDE BOX), případně jak navrhujete tuto rozpracovanost rozšířit?</w:t>
      </w:r>
    </w:p>
    <w:p w:rsidR="00AB2B30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Jakou metodikou a způsobem byste navrhovali řídit a kontrolovat vznik nového APV ze strany zadavatele vůči dodavateli a jak řešit ověření a testování kvality dodaného SW nejen ze strany funkčních a nefunkčních požadavků, ale komplexně v průběhu životního cyklu SW v duchu ČSN </w:t>
      </w:r>
      <w:r w:rsidRPr="00A97B31">
        <w:rPr>
          <w:rFonts w:ascii="Times New Roman" w:hAnsi="Times New Roman"/>
          <w:sz w:val="24"/>
        </w:rPr>
        <w:t xml:space="preserve">ISO/IEC </w:t>
      </w:r>
      <w:smartTag w:uri="urn:schemas-microsoft-com:office:smarttags" w:element="metricconverter">
        <w:smartTagPr>
          <w:attr w:name="ProductID" w:val="12207 a"/>
        </w:smartTagPr>
        <w:r w:rsidRPr="00A97B31">
          <w:rPr>
            <w:rFonts w:ascii="Times New Roman" w:hAnsi="Times New Roman"/>
            <w:sz w:val="24"/>
          </w:rPr>
          <w:t>12207</w:t>
        </w:r>
        <w:r>
          <w:rPr>
            <w:rFonts w:ascii="Times New Roman" w:hAnsi="Times New Roman"/>
            <w:sz w:val="24"/>
          </w:rPr>
          <w:t xml:space="preserve"> a</w:t>
        </w:r>
      </w:smartTag>
      <w:r>
        <w:rPr>
          <w:rFonts w:ascii="Times New Roman" w:hAnsi="Times New Roman"/>
          <w:sz w:val="24"/>
        </w:rPr>
        <w:t xml:space="preserve"> </w:t>
      </w:r>
      <w:r w:rsidRPr="005D4393">
        <w:rPr>
          <w:rFonts w:ascii="Times New Roman" w:hAnsi="Times New Roman"/>
          <w:sz w:val="24"/>
        </w:rPr>
        <w:t>ČSN ISO/IEC 9126</w:t>
      </w:r>
      <w:r>
        <w:rPr>
          <w:rFonts w:ascii="Times New Roman" w:hAnsi="Times New Roman"/>
          <w:sz w:val="24"/>
        </w:rPr>
        <w:t>?</w:t>
      </w:r>
    </w:p>
    <w:p w:rsidR="00AB2B30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Jaká je časová náročnost pro zpracování 2. kroku Studie?</w:t>
      </w:r>
    </w:p>
    <w:p w:rsidR="00AB2B30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Kolik pracovníků by mělo na 2. kroku Studie pracovat, jaké by měli mít portfolio kompetencí a schopností (mělo by být různé při zpracování zadání pro nové APV a pro zadání pro výběr poskytovatele projektové podpory</w:t>
      </w:r>
      <w:r>
        <w:rPr>
          <w:rFonts w:ascii="Times New Roman" w:hAnsi="Times New Roman"/>
          <w:sz w:val="24"/>
          <w:lang w:val="en-US"/>
        </w:rPr>
        <w:t>)</w:t>
      </w:r>
      <w:r>
        <w:rPr>
          <w:rFonts w:ascii="Times New Roman" w:hAnsi="Times New Roman"/>
          <w:sz w:val="24"/>
        </w:rPr>
        <w:t>?</w:t>
      </w:r>
    </w:p>
    <w:p w:rsidR="00AB2B30" w:rsidRPr="00B6116F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 w:rsidRPr="00B6116F">
        <w:rPr>
          <w:rFonts w:ascii="Times New Roman" w:hAnsi="Times New Roman"/>
          <w:sz w:val="24"/>
        </w:rPr>
        <w:t>Jaké jsou požadavky zpracovatele na spolupráci s MO, rozsah a míra zapojení pracovníků MO (odlišně pro jednotlivé varianty)</w:t>
      </w:r>
      <w:r>
        <w:rPr>
          <w:rFonts w:ascii="Times New Roman" w:hAnsi="Times New Roman"/>
          <w:sz w:val="24"/>
        </w:rPr>
        <w:t>?</w:t>
      </w:r>
    </w:p>
    <w:p w:rsidR="00AB2B30" w:rsidRPr="00FA5D53" w:rsidRDefault="00AB2B30" w:rsidP="00B21581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Jaká by měla být cena 2. kroku Studie pro jednotlivé varianty?</w:t>
      </w: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Pr="001752BE" w:rsidRDefault="00AB2B30" w:rsidP="007A6224">
      <w:pPr>
        <w:rPr>
          <w:rFonts w:ascii="Times New Roman" w:hAnsi="Times New Roman"/>
          <w:b/>
          <w:sz w:val="24"/>
          <w:szCs w:val="24"/>
        </w:rPr>
      </w:pPr>
      <w:r>
        <w:br w:type="page"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  <w:t>Příloha 1</w:t>
      </w: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Pr="00CF16DC" w:rsidRDefault="00AB2B30" w:rsidP="00B21581">
      <w:pPr>
        <w:pStyle w:val="Styl2"/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Popis</w:t>
      </w:r>
      <w:r w:rsidRPr="00CF16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strategií </w:t>
      </w:r>
      <w:r w:rsidRPr="00CF16DC">
        <w:rPr>
          <w:sz w:val="28"/>
          <w:szCs w:val="28"/>
        </w:rPr>
        <w:t>integrace APV</w:t>
      </w:r>
    </w:p>
    <w:p w:rsidR="00AB2B30" w:rsidRDefault="00AB2B30" w:rsidP="00B21581">
      <w:pPr>
        <w:pStyle w:val="BodyText"/>
        <w:spacing w:after="0"/>
        <w:jc w:val="both"/>
        <w:rPr>
          <w:b/>
        </w:rPr>
      </w:pPr>
    </w:p>
    <w:p w:rsidR="00AB2B30" w:rsidRPr="00FF3002" w:rsidRDefault="00AB2B30" w:rsidP="00291382">
      <w:pPr>
        <w:pStyle w:val="BodyText"/>
        <w:numPr>
          <w:ilvl w:val="0"/>
          <w:numId w:val="31"/>
        </w:numPr>
        <w:spacing w:after="0"/>
        <w:jc w:val="both"/>
        <w:rPr>
          <w:b/>
        </w:rPr>
      </w:pPr>
      <w:bookmarkStart w:id="0" w:name="_Toc364942757"/>
      <w:bookmarkStart w:id="1" w:name="_Toc365026748"/>
      <w:r w:rsidRPr="00FF3002">
        <w:rPr>
          <w:b/>
        </w:rPr>
        <w:t xml:space="preserve">BLACK BOX - získání </w:t>
      </w:r>
      <w:r>
        <w:rPr>
          <w:b/>
        </w:rPr>
        <w:t>úplných</w:t>
      </w:r>
      <w:r w:rsidRPr="00FF3002">
        <w:rPr>
          <w:b/>
        </w:rPr>
        <w:t xml:space="preserve"> popisů rozhraní modulů stávajících APV a </w:t>
      </w:r>
      <w:r>
        <w:rPr>
          <w:b/>
        </w:rPr>
        <w:t>jejich vzájemné</w:t>
      </w:r>
      <w:r w:rsidRPr="00FF3002">
        <w:rPr>
          <w:b/>
        </w:rPr>
        <w:t xml:space="preserve"> </w:t>
      </w:r>
      <w:r>
        <w:rPr>
          <w:b/>
        </w:rPr>
        <w:t>propojenosti</w:t>
      </w:r>
      <w:r w:rsidRPr="00FF3002">
        <w:rPr>
          <w:b/>
        </w:rPr>
        <w:t xml:space="preserve"> s možností </w:t>
      </w:r>
      <w:r>
        <w:rPr>
          <w:b/>
        </w:rPr>
        <w:t xml:space="preserve">jejich </w:t>
      </w:r>
      <w:r w:rsidRPr="00FF3002">
        <w:rPr>
          <w:b/>
        </w:rPr>
        <w:t xml:space="preserve">dalšího rozvoje </w:t>
      </w:r>
      <w:bookmarkEnd w:id="0"/>
      <w:bookmarkEnd w:id="1"/>
      <w:r>
        <w:rPr>
          <w:b/>
        </w:rPr>
        <w:t>formou otevřené soutěže</w:t>
      </w:r>
    </w:p>
    <w:p w:rsidR="00AB2B30" w:rsidRDefault="00AB2B30" w:rsidP="00291382">
      <w:pPr>
        <w:pStyle w:val="Odstavecseseznamem2"/>
        <w:spacing w:before="120"/>
        <w:ind w:left="0" w:firstLine="709"/>
      </w:pPr>
      <w:r w:rsidRPr="00362C1F">
        <w:t xml:space="preserve">Tato strategie zachovává stávající APV. Poskytuje možnost dosáhnout cílového (integrovaného) stavu postupnými kroky, v závislosti na požadavcích hlavních uživatelů </w:t>
      </w:r>
      <w:r>
        <w:br/>
      </w:r>
      <w:r w:rsidRPr="00362C1F">
        <w:t xml:space="preserve">a možnostech resortu. Bude však nutno </w:t>
      </w:r>
      <w:r>
        <w:t xml:space="preserve">vyškolit vlastní odborníky a </w:t>
      </w:r>
      <w:r w:rsidRPr="00362C1F">
        <w:t xml:space="preserve">využít služeb </w:t>
      </w:r>
      <w:r>
        <w:t xml:space="preserve">Projektové kanceláře - </w:t>
      </w:r>
      <w:r w:rsidRPr="00362C1F">
        <w:t>systémového integrátora</w:t>
      </w:r>
      <w:r>
        <w:t xml:space="preserve"> pro odborné řízení dodavatelů při integraci a rozvoji APV. Projektová kancelář - systémový integrátor zvolí vhodnou </w:t>
      </w:r>
      <w:r w:rsidRPr="00362C1F">
        <w:t xml:space="preserve">integrační platformu umožňující </w:t>
      </w:r>
      <w:r>
        <w:t xml:space="preserve">efektivní integraci APV s maximálním </w:t>
      </w:r>
      <w:r w:rsidRPr="00362C1F">
        <w:t>využití</w:t>
      </w:r>
      <w:r>
        <w:t>m</w:t>
      </w:r>
      <w:r w:rsidRPr="00362C1F">
        <w:t xml:space="preserve"> společných služeb</w:t>
      </w:r>
      <w:r>
        <w:t>.</w:t>
      </w:r>
    </w:p>
    <w:p w:rsidR="00AB2B30" w:rsidRDefault="00AB2B30" w:rsidP="00291382">
      <w:pPr>
        <w:pStyle w:val="Odstavecseseznamem2"/>
        <w:spacing w:before="120"/>
        <w:ind w:left="0"/>
      </w:pPr>
      <w:r>
        <w:rPr>
          <w:noProof/>
          <w:lang w:eastAsia="cs-CZ"/>
        </w:rPr>
        <w:pict>
          <v:shape id="obrázek 6" o:spid="_x0000_i1026" type="#_x0000_t75" alt="Proc3" style="width:298.5pt;height:143.25pt;visibility:visible">
            <v:imagedata r:id="rId8" o:title=""/>
          </v:shape>
        </w:pict>
      </w:r>
    </w:p>
    <w:p w:rsidR="00AB2B30" w:rsidRDefault="00AB2B30" w:rsidP="000812AF">
      <w:pPr>
        <w:pStyle w:val="Odstavecseseznamem2"/>
        <w:spacing w:before="120" w:after="120"/>
        <w:ind w:left="0"/>
      </w:pPr>
      <w:r>
        <w:t>Obr. 1</w:t>
      </w:r>
      <w:r w:rsidRPr="00362C1F">
        <w:t xml:space="preserve">. Strategie </w:t>
      </w:r>
      <w:r>
        <w:t>BLACK</w:t>
      </w:r>
      <w:r w:rsidRPr="00362C1F">
        <w:t xml:space="preserve"> BOX</w:t>
      </w:r>
    </w:p>
    <w:p w:rsidR="00AB2B30" w:rsidRDefault="00AB2B30" w:rsidP="000812AF">
      <w:pPr>
        <w:pStyle w:val="Odstavecseseznamem2"/>
        <w:spacing w:after="240"/>
        <w:ind w:left="0" w:firstLine="708"/>
      </w:pPr>
      <w:r w:rsidRPr="00362C1F">
        <w:t xml:space="preserve">V tomto případě resort MO získá vlastnictví spustitelného kódu APV bez licenčních omezení, </w:t>
      </w:r>
      <w:r w:rsidRPr="00320E2A">
        <w:t>popis jeho modulů, jejich vzájemné propojenosti a znalost datového modelu</w:t>
      </w:r>
      <w:r w:rsidRPr="00362C1F">
        <w:t>.</w:t>
      </w:r>
      <w:r>
        <w:t xml:space="preserve"> Dále musí získat vlastnictví veškerých analýz, architektury, rozhraní, datového modelu a </w:t>
      </w:r>
      <w:r w:rsidRPr="00362C1F">
        <w:t>spustitelného kódu</w:t>
      </w:r>
      <w:r>
        <w:t>, které představují integrační platformu a které byly vytvořeny pro resort MO formou smlouvy o dílo.</w:t>
      </w:r>
    </w:p>
    <w:p w:rsidR="00AB2B30" w:rsidRPr="00362C1F" w:rsidRDefault="00AB2B30" w:rsidP="000812AF">
      <w:pPr>
        <w:pStyle w:val="Odstavecseseznamem2"/>
        <w:ind w:left="0" w:firstLine="708"/>
      </w:pPr>
      <w:r w:rsidRPr="00362C1F">
        <w:t xml:space="preserve">Ty bude možno dále rozšiřovat v rámci otevřené soutěže dodavatelů. </w:t>
      </w:r>
      <w:r>
        <w:t>V případě</w:t>
      </w:r>
      <w:r w:rsidRPr="00362C1F">
        <w:t>, že stávající SW moduly nesplňují mezinárodní standardy tvorby SW</w:t>
      </w:r>
      <w:r w:rsidRPr="00362C1F">
        <w:rPr>
          <w:rStyle w:val="FootnoteReference"/>
        </w:rPr>
        <w:footnoteReference w:id="2"/>
      </w:r>
      <w:r>
        <w:t>,</w:t>
      </w:r>
      <w:r w:rsidRPr="00362C1F">
        <w:t xml:space="preserve"> nebylo </w:t>
      </w:r>
      <w:r>
        <w:t xml:space="preserve">by </w:t>
      </w:r>
      <w:r w:rsidRPr="00362C1F">
        <w:t>možné je relativně snadno rozšířit.</w:t>
      </w:r>
      <w:r>
        <w:t xml:space="preserve"> Toto riziko musí být odhaleno a minimalizováno v rámci Studie proveditelnosti. </w:t>
      </w:r>
      <w:r w:rsidRPr="00362C1F">
        <w:t xml:space="preserve">Toto řešení </w:t>
      </w:r>
      <w:r>
        <w:t xml:space="preserve">umožní </w:t>
      </w:r>
      <w:r w:rsidRPr="00362C1F">
        <w:t xml:space="preserve">získání </w:t>
      </w:r>
      <w:r>
        <w:t xml:space="preserve">téměř </w:t>
      </w:r>
      <w:r w:rsidRPr="00362C1F">
        <w:t xml:space="preserve">úplné nezávislosti na stávajících dodavatelích. </w:t>
      </w:r>
    </w:p>
    <w:p w:rsidR="00AB2B30" w:rsidRPr="00362C1F" w:rsidRDefault="00AB2B30" w:rsidP="00291382">
      <w:pPr>
        <w:pStyle w:val="Odstavecseseznamem2"/>
        <w:ind w:left="0"/>
      </w:pPr>
      <w:r>
        <w:rPr>
          <w:noProof/>
          <w:lang w:eastAsia="cs-CZ"/>
        </w:rPr>
        <w:pict>
          <v:shape id="obrázek 9" o:spid="_x0000_i1027" type="#_x0000_t75" style="width:210pt;height:112.5pt;visibility:visible">
            <v:imagedata r:id="rId9" o:title="" cropbottom="13570f" cropleft="1704f" cropright="5079f"/>
          </v:shape>
        </w:pict>
      </w:r>
    </w:p>
    <w:p w:rsidR="00AB2B30" w:rsidRDefault="00AB2B30" w:rsidP="00291382">
      <w:pPr>
        <w:pStyle w:val="Odstavecseseznamem2"/>
        <w:spacing w:before="120"/>
        <w:ind w:left="0"/>
      </w:pPr>
      <w:r>
        <w:t>Obr. 2.   Model vlastnictví a znalosti domény APV pro strategii BLACK</w:t>
      </w:r>
      <w:r w:rsidRPr="00362C1F">
        <w:t xml:space="preserve"> BOX</w:t>
      </w:r>
    </w:p>
    <w:p w:rsidR="00AB2B30" w:rsidRPr="00545A2B" w:rsidRDefault="00AB2B30" w:rsidP="00B21581">
      <w:pPr>
        <w:pStyle w:val="BodyText"/>
        <w:numPr>
          <w:ilvl w:val="0"/>
          <w:numId w:val="31"/>
        </w:numPr>
        <w:spacing w:after="0"/>
        <w:jc w:val="both"/>
        <w:rPr>
          <w:b/>
        </w:rPr>
      </w:pPr>
      <w:bookmarkStart w:id="2" w:name="_Toc364942756"/>
      <w:bookmarkStart w:id="3" w:name="_Toc365026747"/>
      <w:r w:rsidRPr="00545A2B">
        <w:rPr>
          <w:b/>
        </w:rPr>
        <w:t>INSIDE BOX</w:t>
      </w:r>
      <w:r>
        <w:rPr>
          <w:b/>
        </w:rPr>
        <w:t xml:space="preserve"> - n</w:t>
      </w:r>
      <w:r w:rsidRPr="00545A2B">
        <w:rPr>
          <w:b/>
        </w:rPr>
        <w:t>áhrada existujícího APV za proprietární platformu pro řízení procesů resortu MO plně ve vlastnictví MO</w:t>
      </w:r>
      <w:bookmarkEnd w:id="2"/>
      <w:bookmarkEnd w:id="3"/>
    </w:p>
    <w:p w:rsidR="00AB2B30" w:rsidRDefault="00AB2B30" w:rsidP="00B21581">
      <w:pPr>
        <w:pStyle w:val="Odstavecseseznamem2"/>
        <w:spacing w:before="120"/>
        <w:ind w:left="0" w:firstLine="709"/>
      </w:pPr>
      <w:r w:rsidRPr="00362C1F">
        <w:t>Stávající APV budou plně nahrazen</w:t>
      </w:r>
      <w:r>
        <w:t>a</w:t>
      </w:r>
      <w:r w:rsidRPr="00362C1F">
        <w:t xml:space="preserve"> integrovanou proprietární platformou. U této strategie se procesy resortu MO nebudou muset měnit. Pravděpodobně bude nutno </w:t>
      </w:r>
      <w:r>
        <w:t xml:space="preserve">většinu </w:t>
      </w:r>
      <w:r w:rsidRPr="00362C1F">
        <w:t>funk</w:t>
      </w:r>
      <w:r>
        <w:t xml:space="preserve">čnosti </w:t>
      </w:r>
      <w:r w:rsidRPr="00362C1F">
        <w:t xml:space="preserve">znovu </w:t>
      </w:r>
      <w:r>
        <w:t>naprogramovat podle existující funkčnosti</w:t>
      </w:r>
      <w:r w:rsidRPr="00362C1F">
        <w:t xml:space="preserve"> stávajících APV</w:t>
      </w:r>
      <w:r>
        <w:br/>
        <w:t>a případných dalších požadavků H</w:t>
      </w:r>
      <w:r w:rsidRPr="00362C1F">
        <w:t xml:space="preserve">lavních uživatelů. </w:t>
      </w:r>
    </w:p>
    <w:p w:rsidR="00AB2B30" w:rsidRDefault="00AB2B30" w:rsidP="00B21581">
      <w:pPr>
        <w:pStyle w:val="Odstavecseseznamem2"/>
        <w:spacing w:before="120"/>
        <w:ind w:left="0"/>
      </w:pPr>
      <w:r>
        <w:rPr>
          <w:noProof/>
          <w:lang w:eastAsia="cs-CZ"/>
        </w:rPr>
        <w:pict>
          <v:shape id="obrázek 4" o:spid="_x0000_i1028" type="#_x0000_t75" alt="Proc2" style="width:285.75pt;height:169.5pt;visibility:visible">
            <v:imagedata r:id="rId10" o:title=""/>
          </v:shape>
        </w:pict>
      </w:r>
    </w:p>
    <w:p w:rsidR="00AB2B30" w:rsidRDefault="00AB2B30" w:rsidP="00B21581">
      <w:pPr>
        <w:pStyle w:val="Odstavecseseznamem2"/>
        <w:spacing w:before="120"/>
        <w:ind w:left="0"/>
      </w:pPr>
      <w:r>
        <w:t>Obr. 3</w:t>
      </w:r>
      <w:r w:rsidRPr="00362C1F">
        <w:t xml:space="preserve">. Strategie </w:t>
      </w:r>
      <w:r>
        <w:t>INSIDE</w:t>
      </w:r>
      <w:r w:rsidRPr="00362C1F">
        <w:t xml:space="preserve"> BOX</w:t>
      </w:r>
    </w:p>
    <w:p w:rsidR="00AB2B30" w:rsidRDefault="00AB2B30" w:rsidP="00B21581">
      <w:pPr>
        <w:pStyle w:val="Odstavecseseznamem2"/>
        <w:spacing w:before="120"/>
        <w:ind w:left="0" w:firstLine="709"/>
      </w:pPr>
    </w:p>
    <w:p w:rsidR="00AB2B30" w:rsidRPr="00362C1F" w:rsidRDefault="00AB2B30" w:rsidP="00B21581">
      <w:pPr>
        <w:pStyle w:val="Odstavecseseznamem2"/>
        <w:ind w:left="0" w:firstLine="708"/>
      </w:pPr>
      <w:r w:rsidRPr="00362C1F">
        <w:t xml:space="preserve">Toto řešení představuje silnou závislost na jednom dodavateli, až do doby dokončení prvotního projektu. Podmínkou realizace této strategie bude požadavek na vlastnictví spustitelného </w:t>
      </w:r>
      <w:r>
        <w:t xml:space="preserve">a zdrojového </w:t>
      </w:r>
      <w:r w:rsidRPr="00362C1F">
        <w:t>kódu</w:t>
      </w:r>
      <w:r>
        <w:t>, veškerých analýz a architektury</w:t>
      </w:r>
      <w:r w:rsidRPr="00362C1F">
        <w:t xml:space="preserve"> </w:t>
      </w:r>
      <w:r>
        <w:t xml:space="preserve">integrované platformy a </w:t>
      </w:r>
      <w:r w:rsidRPr="00362C1F">
        <w:t xml:space="preserve">APV bez licenčních omezení, </w:t>
      </w:r>
      <w:r w:rsidRPr="00320E2A">
        <w:t>popis jeho modulů, jejich vzájemné propojenosti a znalost datového modelu</w:t>
      </w:r>
      <w:r w:rsidRPr="00362C1F">
        <w:t>. Po dokončení projektu bude možno změny APV provádět formou otevřené soutěže.</w:t>
      </w:r>
    </w:p>
    <w:p w:rsidR="00AB2B30" w:rsidRPr="005F0A6F" w:rsidRDefault="00AB2B30" w:rsidP="00B21581">
      <w:pPr>
        <w:pStyle w:val="Odstavecseseznamem2"/>
        <w:spacing w:before="120"/>
        <w:ind w:left="0" w:firstLine="709"/>
        <w:rPr>
          <w:sz w:val="16"/>
          <w:szCs w:val="16"/>
        </w:rPr>
      </w:pPr>
    </w:p>
    <w:p w:rsidR="00AB2B30" w:rsidRPr="00362C1F" w:rsidRDefault="00AB2B30" w:rsidP="00B21581">
      <w:pPr>
        <w:pStyle w:val="Odstavecseseznamem2"/>
        <w:ind w:left="0"/>
        <w:rPr>
          <w:noProof/>
          <w:lang w:eastAsia="cs-CZ"/>
        </w:rPr>
      </w:pPr>
      <w:r>
        <w:rPr>
          <w:noProof/>
          <w:lang w:eastAsia="cs-CZ"/>
        </w:rPr>
        <w:t xml:space="preserve">   </w:t>
      </w:r>
      <w:r>
        <w:rPr>
          <w:noProof/>
          <w:lang w:eastAsia="cs-CZ"/>
        </w:rPr>
        <w:pict>
          <v:shape id="obrázek 7" o:spid="_x0000_i1029" type="#_x0000_t75" style="width:258pt;height:150pt;visibility:visible">
            <v:imagedata r:id="rId11" o:title="" cropbottom="12976f" cropleft="1638f" cropright="5139f"/>
          </v:shape>
        </w:pict>
      </w:r>
    </w:p>
    <w:p w:rsidR="00AB2B30" w:rsidRPr="00362C1F" w:rsidRDefault="00AB2B30" w:rsidP="00B21581">
      <w:pPr>
        <w:pStyle w:val="Odstavecseseznamem2"/>
        <w:spacing w:before="120"/>
        <w:ind w:left="0"/>
      </w:pPr>
      <w:r>
        <w:t>Obr. 4.   Model vlastnictví a znalosti domény APV pro strategii INSIDE</w:t>
      </w:r>
      <w:r w:rsidRPr="00362C1F">
        <w:t xml:space="preserve"> BOX</w:t>
      </w:r>
    </w:p>
    <w:p w:rsidR="00AB2B30" w:rsidRDefault="00AB2B30" w:rsidP="00B21581">
      <w:pPr>
        <w:pStyle w:val="Odstavecseseznamem2"/>
        <w:ind w:left="0"/>
      </w:pPr>
    </w:p>
    <w:p w:rsidR="00AB2B30" w:rsidRDefault="00AB2B30" w:rsidP="00B21581">
      <w:pPr>
        <w:pStyle w:val="Odstavecseseznamem2"/>
        <w:ind w:left="0"/>
      </w:pPr>
    </w:p>
    <w:p w:rsidR="00AB2B30" w:rsidRDefault="00AB2B30" w:rsidP="00B21581">
      <w:pPr>
        <w:pStyle w:val="Odstavecseseznamem2"/>
        <w:ind w:left="0"/>
      </w:pPr>
    </w:p>
    <w:p w:rsidR="00AB2B30" w:rsidRDefault="00AB2B30" w:rsidP="00B21581">
      <w:pPr>
        <w:pStyle w:val="Odstavecseseznamem2"/>
        <w:ind w:left="0"/>
      </w:pPr>
    </w:p>
    <w:p w:rsidR="00AB2B30" w:rsidRDefault="00AB2B30" w:rsidP="00B21581">
      <w:pPr>
        <w:pStyle w:val="Odstavecseseznamem2"/>
        <w:ind w:left="0"/>
      </w:pPr>
    </w:p>
    <w:p w:rsidR="00AB2B30" w:rsidRDefault="00AB2B30" w:rsidP="00B21581">
      <w:pPr>
        <w:pStyle w:val="Odstavecseseznamem2"/>
        <w:ind w:left="0"/>
      </w:pPr>
    </w:p>
    <w:p w:rsidR="00AB2B30" w:rsidRDefault="00AB2B30" w:rsidP="00B21581">
      <w:pPr>
        <w:pStyle w:val="Odstavecseseznamem2"/>
        <w:ind w:left="0"/>
      </w:pPr>
    </w:p>
    <w:p w:rsidR="00AB2B30" w:rsidRDefault="00AB2B30" w:rsidP="00B21581">
      <w:pPr>
        <w:pStyle w:val="Odstavecseseznamem2"/>
        <w:ind w:left="0"/>
      </w:pPr>
    </w:p>
    <w:p w:rsidR="00AB2B30" w:rsidRPr="00545A2B" w:rsidRDefault="00AB2B30" w:rsidP="00291382">
      <w:pPr>
        <w:pStyle w:val="BodyText"/>
        <w:numPr>
          <w:ilvl w:val="0"/>
          <w:numId w:val="31"/>
        </w:numPr>
        <w:spacing w:after="0"/>
        <w:jc w:val="both"/>
        <w:rPr>
          <w:b/>
        </w:rPr>
      </w:pPr>
      <w:bookmarkStart w:id="4" w:name="_Toc364942755"/>
      <w:bookmarkStart w:id="5" w:name="_Toc365026746"/>
      <w:r w:rsidRPr="00545A2B">
        <w:rPr>
          <w:b/>
        </w:rPr>
        <w:t>OUTSIDE BOX - náhrada existujícího APV za integrovanou platformu pro řízení organizací</w:t>
      </w:r>
      <w:bookmarkEnd w:id="4"/>
      <w:bookmarkEnd w:id="5"/>
    </w:p>
    <w:p w:rsidR="00AB2B30" w:rsidRDefault="00AB2B30" w:rsidP="00291382">
      <w:pPr>
        <w:pStyle w:val="Odstavecseseznamem2"/>
        <w:spacing w:before="120"/>
        <w:ind w:left="0" w:firstLine="709"/>
      </w:pPr>
      <w:r w:rsidRPr="00362C1F">
        <w:t>St</w:t>
      </w:r>
      <w:r>
        <w:t>ávající APV budou plně nahrazené</w:t>
      </w:r>
      <w:r w:rsidRPr="00362C1F">
        <w:t xml:space="preserve"> integrovanou průmyslovou platformou. U této strategie bude nutno nezanedbatelné množství funkcionalit APV COTS přizpůsobit v závislosti na požadavcích </w:t>
      </w:r>
      <w:r>
        <w:t>H</w:t>
      </w:r>
      <w:r w:rsidRPr="00362C1F">
        <w:t>lavních uživatelů. Dále lze předpokládat, že bude nutné přizpůsobit procesy uvnitř resortu MO, tak aby korespondovaly se za</w:t>
      </w:r>
      <w:r>
        <w:t>vedenými podnikovými standardy.</w:t>
      </w:r>
    </w:p>
    <w:p w:rsidR="00AB2B30" w:rsidRDefault="00AB2B30" w:rsidP="00291382">
      <w:pPr>
        <w:pStyle w:val="Odstavecseseznamem2"/>
        <w:spacing w:before="120"/>
        <w:ind w:left="0"/>
      </w:pPr>
      <w:r>
        <w:rPr>
          <w:noProof/>
          <w:lang w:eastAsia="cs-CZ"/>
        </w:rPr>
        <w:pict>
          <v:shape id="obrázek 2" o:spid="_x0000_i1030" type="#_x0000_t75" alt="Proc1" style="width:340.5pt;height:177pt;visibility:visible">
            <v:imagedata r:id="rId12" o:title=""/>
          </v:shape>
        </w:pict>
      </w:r>
    </w:p>
    <w:p w:rsidR="00AB2B30" w:rsidRDefault="00AB2B30" w:rsidP="00291382">
      <w:pPr>
        <w:pStyle w:val="Odstavecseseznamem2"/>
        <w:spacing w:before="120"/>
        <w:ind w:left="0"/>
      </w:pPr>
      <w:r>
        <w:t>Obr. 5</w:t>
      </w:r>
      <w:r w:rsidRPr="00362C1F">
        <w:t>. Strategie OUTSIDE BOX</w:t>
      </w:r>
    </w:p>
    <w:p w:rsidR="00AB2B30" w:rsidRDefault="00AB2B30" w:rsidP="00291382">
      <w:pPr>
        <w:pStyle w:val="Odstavecseseznamem2"/>
        <w:spacing w:before="120"/>
        <w:ind w:left="0" w:firstLine="709"/>
      </w:pPr>
      <w:r>
        <w:t xml:space="preserve"> </w:t>
      </w:r>
      <w:r w:rsidRPr="00362C1F">
        <w:t xml:space="preserve">Toto řešení </w:t>
      </w:r>
      <w:r>
        <w:t>může znamenat</w:t>
      </w:r>
      <w:r w:rsidRPr="00362C1F">
        <w:t xml:space="preserve"> silnou závislost na jednom dodavateli, což je nahrazení stávajících závislostí novou</w:t>
      </w:r>
      <w:r>
        <w:t>,</w:t>
      </w:r>
      <w:r w:rsidRPr="00362C1F">
        <w:t xml:space="preserve"> </w:t>
      </w:r>
      <w:r>
        <w:t xml:space="preserve">silnější </w:t>
      </w:r>
      <w:r w:rsidRPr="00362C1F">
        <w:t xml:space="preserve">závislostí na jediném dodavateli. Nicméně podmínkou realizace této strategie bude </w:t>
      </w:r>
      <w:r>
        <w:t xml:space="preserve">minimálně </w:t>
      </w:r>
      <w:r w:rsidRPr="00362C1F">
        <w:t xml:space="preserve">požadavek na vlastnictví </w:t>
      </w:r>
      <w:r>
        <w:t xml:space="preserve">veškerých analýz, rozhraní, datového modelu a </w:t>
      </w:r>
      <w:r w:rsidRPr="00362C1F">
        <w:t>spustitelného kódu</w:t>
      </w:r>
      <w:r>
        <w:t xml:space="preserve">, které byly vytvořeny za účelem úprav pro resort MO formou smlouvy o dílo. Takto vytvořené moduly APV </w:t>
      </w:r>
      <w:r w:rsidRPr="00362C1F">
        <w:t xml:space="preserve"> </w:t>
      </w:r>
      <w:r>
        <w:t>nesmějí být</w:t>
      </w:r>
      <w:r w:rsidRPr="00362C1F">
        <w:t xml:space="preserve"> licenčn</w:t>
      </w:r>
      <w:r>
        <w:t>ě</w:t>
      </w:r>
      <w:r w:rsidRPr="00362C1F">
        <w:t xml:space="preserve"> omezen</w:t>
      </w:r>
      <w:r>
        <w:t>y ze strany dodavatele a resort MO musí dostat právo je následně upravovat formou otevřených výběrových řízení</w:t>
      </w:r>
      <w:r w:rsidRPr="00362C1F">
        <w:t>.</w:t>
      </w:r>
    </w:p>
    <w:p w:rsidR="00AB2B30" w:rsidRPr="00914594" w:rsidRDefault="00AB2B30" w:rsidP="00291382">
      <w:pPr>
        <w:pStyle w:val="Odstavecseseznamem2"/>
        <w:spacing w:after="120"/>
        <w:ind w:left="0" w:firstLine="709"/>
        <w:rPr>
          <w:sz w:val="12"/>
          <w:szCs w:val="12"/>
        </w:rPr>
      </w:pPr>
    </w:p>
    <w:p w:rsidR="00AB2B30" w:rsidRPr="00362C1F" w:rsidRDefault="00AB2B30" w:rsidP="00291382">
      <w:pPr>
        <w:pStyle w:val="Odstavecseseznamem2"/>
        <w:ind w:left="0"/>
      </w:pPr>
      <w:r>
        <w:rPr>
          <w:noProof/>
          <w:lang w:eastAsia="cs-CZ"/>
        </w:rPr>
        <w:t xml:space="preserve">  </w:t>
      </w:r>
      <w:r>
        <w:rPr>
          <w:noProof/>
          <w:lang w:eastAsia="cs-CZ"/>
        </w:rPr>
        <w:pict>
          <v:shape id="obrázek 5" o:spid="_x0000_i1031" type="#_x0000_t75" style="width:306.75pt;height:180pt;visibility:visible">
            <v:imagedata r:id="rId13" o:title="" cropbottom="12190f" cropleft="1638f" cropright="5139f"/>
          </v:shape>
        </w:pict>
      </w:r>
    </w:p>
    <w:p w:rsidR="00AB2B30" w:rsidRDefault="00AB2B30" w:rsidP="00291382">
      <w:pPr>
        <w:pStyle w:val="Odstavecseseznamem2"/>
        <w:spacing w:before="120"/>
        <w:ind w:left="0"/>
      </w:pPr>
      <w:r>
        <w:t xml:space="preserve">Obr. 6.   Model vlastnictví a znalosti domény APV pro strategii </w:t>
      </w:r>
      <w:r w:rsidRPr="00362C1F">
        <w:t>OUTSIDE BOX</w:t>
      </w:r>
    </w:p>
    <w:p w:rsidR="00AB2B30" w:rsidRPr="00362C1F" w:rsidRDefault="00AB2B30" w:rsidP="00291382">
      <w:pPr>
        <w:pStyle w:val="Odstavecseseznamem2"/>
        <w:spacing w:before="120"/>
        <w:ind w:left="0"/>
      </w:pPr>
    </w:p>
    <w:p w:rsidR="00AB2B30" w:rsidRDefault="00AB2B3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AB2B30" w:rsidRPr="001752BE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  <w:r w:rsidRPr="001752BE">
        <w:rPr>
          <w:rFonts w:ascii="Times New Roman" w:hAnsi="Times New Roman"/>
          <w:b/>
          <w:sz w:val="24"/>
        </w:rPr>
        <w:tab/>
      </w:r>
      <w:r w:rsidRPr="001752BE">
        <w:rPr>
          <w:rFonts w:ascii="Times New Roman" w:hAnsi="Times New Roman"/>
          <w:b/>
          <w:sz w:val="24"/>
        </w:rPr>
        <w:tab/>
      </w:r>
      <w:r w:rsidRPr="001752BE">
        <w:rPr>
          <w:rFonts w:ascii="Times New Roman" w:hAnsi="Times New Roman"/>
          <w:b/>
          <w:sz w:val="24"/>
        </w:rPr>
        <w:tab/>
      </w:r>
      <w:r w:rsidRPr="001752BE">
        <w:rPr>
          <w:rFonts w:ascii="Times New Roman" w:hAnsi="Times New Roman"/>
          <w:b/>
          <w:sz w:val="24"/>
        </w:rPr>
        <w:tab/>
      </w:r>
      <w:r w:rsidRPr="001752BE">
        <w:rPr>
          <w:rFonts w:ascii="Times New Roman" w:hAnsi="Times New Roman"/>
          <w:b/>
          <w:sz w:val="24"/>
        </w:rPr>
        <w:tab/>
      </w:r>
      <w:r w:rsidRPr="001752BE">
        <w:rPr>
          <w:rFonts w:ascii="Times New Roman" w:hAnsi="Times New Roman"/>
          <w:b/>
          <w:sz w:val="24"/>
        </w:rPr>
        <w:tab/>
      </w:r>
      <w:r w:rsidRPr="001752BE">
        <w:rPr>
          <w:rFonts w:ascii="Times New Roman" w:hAnsi="Times New Roman"/>
          <w:b/>
          <w:sz w:val="24"/>
        </w:rPr>
        <w:tab/>
      </w:r>
      <w:r w:rsidRPr="001752BE">
        <w:rPr>
          <w:rFonts w:ascii="Times New Roman" w:hAnsi="Times New Roman"/>
          <w:b/>
          <w:sz w:val="24"/>
        </w:rPr>
        <w:tab/>
      </w:r>
      <w:r w:rsidRPr="001752BE">
        <w:rPr>
          <w:rFonts w:ascii="Times New Roman" w:hAnsi="Times New Roman"/>
          <w:b/>
          <w:sz w:val="24"/>
        </w:rPr>
        <w:tab/>
        <w:t>Příloha 2</w:t>
      </w:r>
    </w:p>
    <w:p w:rsidR="00AB2B30" w:rsidRPr="007A6224" w:rsidRDefault="00AB2B30" w:rsidP="007A6224">
      <w:pPr>
        <w:pStyle w:val="Heading1"/>
        <w:jc w:val="center"/>
        <w:rPr>
          <w:rFonts w:ascii="Times New Roman" w:hAnsi="Times New Roman"/>
          <w:color w:val="auto"/>
        </w:rPr>
      </w:pPr>
      <w:bookmarkStart w:id="6" w:name="_Toc380742366"/>
      <w:r w:rsidRPr="007A6224">
        <w:rPr>
          <w:rFonts w:ascii="Times New Roman" w:hAnsi="Times New Roman"/>
          <w:color w:val="auto"/>
        </w:rPr>
        <w:t>Podrobné požadavky na zpracování Studie proveditelnosti</w:t>
      </w:r>
      <w:bookmarkEnd w:id="6"/>
    </w:p>
    <w:p w:rsidR="00AB2B30" w:rsidRPr="007F0571" w:rsidRDefault="00AB2B30" w:rsidP="00B21581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B2B30" w:rsidRPr="00763B67" w:rsidRDefault="00AB2B30" w:rsidP="00B21581">
      <w:pPr>
        <w:spacing w:after="0"/>
        <w:jc w:val="both"/>
        <w:rPr>
          <w:rFonts w:ascii="Times New Roman" w:hAnsi="Times New Roman"/>
          <w:b/>
          <w:sz w:val="24"/>
        </w:rPr>
      </w:pPr>
      <w:r w:rsidRPr="00763B67">
        <w:rPr>
          <w:rFonts w:ascii="Times New Roman" w:hAnsi="Times New Roman"/>
          <w:b/>
          <w:sz w:val="24"/>
        </w:rPr>
        <w:t>Požadavky na výsledky </w:t>
      </w:r>
      <w:r>
        <w:rPr>
          <w:rFonts w:ascii="Times New Roman" w:hAnsi="Times New Roman"/>
          <w:b/>
          <w:sz w:val="24"/>
        </w:rPr>
        <w:t>1</w:t>
      </w:r>
      <w:r w:rsidRPr="00763B67">
        <w:rPr>
          <w:rFonts w:ascii="Times New Roman" w:hAnsi="Times New Roman"/>
          <w:b/>
          <w:sz w:val="24"/>
        </w:rPr>
        <w:t xml:space="preserve">. kroku </w:t>
      </w:r>
      <w:r>
        <w:rPr>
          <w:rFonts w:ascii="Times New Roman" w:hAnsi="Times New Roman"/>
          <w:b/>
          <w:sz w:val="24"/>
        </w:rPr>
        <w:t>S</w:t>
      </w:r>
      <w:r w:rsidRPr="00763B67">
        <w:rPr>
          <w:rFonts w:ascii="Times New Roman" w:hAnsi="Times New Roman"/>
          <w:b/>
          <w:sz w:val="24"/>
        </w:rPr>
        <w:t>tudie:</w:t>
      </w:r>
    </w:p>
    <w:p w:rsidR="00AB2B30" w:rsidRDefault="00AB2B30" w:rsidP="00B21581">
      <w:pPr>
        <w:pStyle w:val="ListParagraph"/>
        <w:numPr>
          <w:ilvl w:val="0"/>
          <w:numId w:val="32"/>
        </w:num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Vypočítaná pracnost nejvýznamějších APV resortu stanovená na základě metody funkčních bodů (FPA Function Point Analysis)</w:t>
      </w:r>
      <w:r>
        <w:rPr>
          <w:rStyle w:val="FootnoteReference"/>
          <w:rFonts w:ascii="Times New Roman" w:hAnsi="Times New Roman"/>
          <w:sz w:val="24"/>
        </w:rPr>
        <w:footnoteReference w:id="3"/>
      </w:r>
      <w:r>
        <w:rPr>
          <w:rFonts w:ascii="Times New Roman" w:hAnsi="Times New Roman"/>
          <w:sz w:val="24"/>
        </w:rPr>
        <w:t xml:space="preserve">.  Tento údaj bude sloužit jako referenční hodnota pro porovnání s možnými strategiemi integrace a jejich konkrétními implementacemi. </w:t>
      </w:r>
    </w:p>
    <w:p w:rsidR="00AB2B30" w:rsidRDefault="00AB2B30" w:rsidP="00B21581">
      <w:pPr>
        <w:pStyle w:val="ListParagraph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 tomu bude požadováno zpracovat business model APV v nezbytném rozsahu. Výsledky této analýzy bude požadováno předat ve standardní podobě v jazyce BPMN a UML ve formě modelu, který bude uložen ve formátu Enterprise Architect.  </w:t>
      </w:r>
    </w:p>
    <w:p w:rsidR="00AB2B30" w:rsidRDefault="00AB2B30" w:rsidP="00B21581">
      <w:pPr>
        <w:pStyle w:val="ListParagraph"/>
        <w:numPr>
          <w:ilvl w:val="0"/>
          <w:numId w:val="32"/>
        </w:num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Popis možných integračních strategií. Pro popis všech strategií bude vypracována jednotná sada sledovaných parametrů, které umožní kvantifikovat míru výhodnosti</w:t>
      </w:r>
      <w:r>
        <w:rPr>
          <w:rFonts w:ascii="Times New Roman" w:hAnsi="Times New Roman"/>
          <w:sz w:val="24"/>
          <w:lang w:val="en-US"/>
        </w:rPr>
        <w:t>/</w:t>
      </w:r>
      <w:r w:rsidRPr="00397B67">
        <w:rPr>
          <w:rFonts w:ascii="Times New Roman" w:hAnsi="Times New Roman"/>
          <w:sz w:val="24"/>
        </w:rPr>
        <w:t>nevý</w:t>
      </w:r>
      <w:r>
        <w:rPr>
          <w:rFonts w:ascii="Times New Roman" w:hAnsi="Times New Roman"/>
          <w:sz w:val="24"/>
        </w:rPr>
        <w:t>hodnosti dané strategie a její konkrétní implementace pro resort MO.</w:t>
      </w:r>
    </w:p>
    <w:p w:rsidR="00AB2B30" w:rsidRDefault="00AB2B30" w:rsidP="00B21581">
      <w:pPr>
        <w:pStyle w:val="ListParagraph"/>
        <w:numPr>
          <w:ilvl w:val="0"/>
          <w:numId w:val="32"/>
        </w:num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Jako preferovaná integrační strategie pro BLACK BOX a INSIDE BOX se předpokládá Servisně Orientovaná Architektura (SOA). Po zpracovateli studie se požaduje, aby jeho navrhované řešení naplňovalo otevřené standardy (profily) SOA dle OASIS WS-I (Organization for Advancement of Structured Information Standards Web Services Interoperability) a specifikaci webových služeb dle W3C. Dále je požadováno navrhovat použití otevřených průmyslových SW produktů pro SOA infrastrukturu.</w:t>
      </w:r>
    </w:p>
    <w:p w:rsidR="00AB2B30" w:rsidRDefault="00AB2B30" w:rsidP="00B21581">
      <w:pPr>
        <w:pStyle w:val="ListParagraph"/>
        <w:numPr>
          <w:ilvl w:val="0"/>
          <w:numId w:val="32"/>
        </w:num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 strategii BLACK BOX je nutno popsat způsob nasazení integrační strategie SOA.</w:t>
      </w:r>
    </w:p>
    <w:p w:rsidR="00AB2B30" w:rsidRDefault="00AB2B30" w:rsidP="00B21581">
      <w:pPr>
        <w:pStyle w:val="ListParagraph"/>
        <w:numPr>
          <w:ilvl w:val="0"/>
          <w:numId w:val="32"/>
        </w:num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 strategii INSIDE BOX je nutno popsat několik implementačních strategií potenciálních dodavatelů a způsob nasazení integrační strategie SOA. Očekává se obecný návrh kroků vedoucí k přechodu ze stávajícího APV na nové proprietární APV.</w:t>
      </w:r>
    </w:p>
    <w:p w:rsidR="00AB2B30" w:rsidRDefault="00AB2B30" w:rsidP="00B21581">
      <w:pPr>
        <w:pStyle w:val="ListParagraph"/>
        <w:numPr>
          <w:ilvl w:val="0"/>
          <w:numId w:val="32"/>
        </w:num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 strategii OUTSIDE BOX porovnat možné dodavatele komplexního COTS řešení z hlediska míry „otevřenosti“ tohoto řešení pro jeho další rozvoj cestou otevřených výběrových řešení jak na úrovni celého APV, tak jednotlivých modulů a jejich komponent. Pro realizaci doporučovat jen takové řešení, které nezavede resort MO do nové závislosti na dodavateli tohoto APV.</w:t>
      </w:r>
    </w:p>
    <w:p w:rsidR="00AB2B30" w:rsidRDefault="00AB2B30" w:rsidP="00B21581">
      <w:pPr>
        <w:spacing w:after="0"/>
        <w:ind w:left="707"/>
        <w:jc w:val="both"/>
        <w:rPr>
          <w:rFonts w:ascii="Times New Roman" w:hAnsi="Times New Roman"/>
          <w:sz w:val="24"/>
        </w:rPr>
      </w:pPr>
      <w:r w:rsidRPr="00F304D5">
        <w:rPr>
          <w:rFonts w:ascii="Times New Roman" w:hAnsi="Times New Roman"/>
          <w:sz w:val="24"/>
        </w:rPr>
        <w:t>Pro toto řešení</w:t>
      </w:r>
      <w:r>
        <w:rPr>
          <w:rFonts w:ascii="Times New Roman" w:hAnsi="Times New Roman"/>
          <w:sz w:val="24"/>
        </w:rPr>
        <w:t xml:space="preserve"> (pokud bude existovat) je nutné identifikovat:</w:t>
      </w:r>
    </w:p>
    <w:p w:rsidR="00AB2B30" w:rsidRDefault="00AB2B30" w:rsidP="00B21581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Rozsah nezbytných realizovatelných úprav APV, tak, aby APV bylo použitelné pro podporu (specifických) procesů resortu a odhad ceny těchto úprav.</w:t>
      </w:r>
    </w:p>
    <w:p w:rsidR="00AB2B30" w:rsidRDefault="00AB2B30" w:rsidP="00B21581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Rozsah nezbytných, nově vytvořených doplňkových modulů APV</w:t>
      </w:r>
      <w:r w:rsidRPr="005F17AD">
        <w:rPr>
          <w:rFonts w:ascii="Times New Roman" w:hAnsi="Times New Roman"/>
          <w:sz w:val="24"/>
        </w:rPr>
        <w:t xml:space="preserve">, které </w:t>
      </w:r>
      <w:r>
        <w:rPr>
          <w:rFonts w:ascii="Times New Roman" w:hAnsi="Times New Roman"/>
          <w:sz w:val="24"/>
        </w:rPr>
        <w:t>bude nutné vytvořit pro podporu procesů resortu, které COTS produkt nepodporuje. Odhad nákladů na realizaci.</w:t>
      </w:r>
    </w:p>
    <w:p w:rsidR="00AB2B30" w:rsidRDefault="00AB2B30" w:rsidP="00B21581">
      <w:pPr>
        <w:pStyle w:val="ListParagraph"/>
        <w:numPr>
          <w:ilvl w:val="0"/>
          <w:numId w:val="32"/>
        </w:num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Porovnání možných strategií integrace APV a jejich konkrétních možných implementací a návrh doporučení k rozhodnutí RMOPP.</w:t>
      </w:r>
    </w:p>
    <w:p w:rsidR="00AB2B30" w:rsidRDefault="00AB2B30" w:rsidP="00B21581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F0571">
        <w:rPr>
          <w:rFonts w:ascii="Times New Roman" w:hAnsi="Times New Roman"/>
          <w:sz w:val="24"/>
        </w:rPr>
        <w:t>Výsledky 1. kroku Studie budou společně s návrhem nejvhodnější strategie integrace APV předloženy RMOPP k rozhodnutí.</w:t>
      </w:r>
    </w:p>
    <w:p w:rsidR="00AB2B30" w:rsidRDefault="00AB2B30" w:rsidP="00B21581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F0571">
        <w:rPr>
          <w:rFonts w:ascii="Times New Roman" w:hAnsi="Times New Roman"/>
          <w:sz w:val="24"/>
        </w:rPr>
        <w:t xml:space="preserve">Studie ve svém druhém kroku rozpracuje zvolenou strategii integrace APV </w:t>
      </w:r>
      <w:r>
        <w:rPr>
          <w:rFonts w:ascii="Times New Roman" w:hAnsi="Times New Roman"/>
          <w:sz w:val="24"/>
        </w:rPr>
        <w:t xml:space="preserve">do </w:t>
      </w:r>
      <w:r w:rsidRPr="007F0571">
        <w:rPr>
          <w:rFonts w:ascii="Times New Roman" w:hAnsi="Times New Roman"/>
          <w:sz w:val="24"/>
        </w:rPr>
        <w:t xml:space="preserve">formy </w:t>
      </w:r>
      <w:r>
        <w:rPr>
          <w:rFonts w:ascii="Times New Roman" w:hAnsi="Times New Roman"/>
          <w:sz w:val="24"/>
        </w:rPr>
        <w:t xml:space="preserve">návrhu </w:t>
      </w:r>
      <w:r w:rsidRPr="007F0571">
        <w:rPr>
          <w:rFonts w:ascii="Times New Roman" w:hAnsi="Times New Roman"/>
          <w:sz w:val="24"/>
        </w:rPr>
        <w:t>zadání veřejné soutěže pro realizaci této strategie.</w:t>
      </w:r>
    </w:p>
    <w:p w:rsidR="00AB2B30" w:rsidRDefault="00AB2B30" w:rsidP="00B21581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AB2B30" w:rsidRPr="004B787D" w:rsidRDefault="00AB2B30" w:rsidP="008161EB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Požadavky na v</w:t>
      </w:r>
      <w:r w:rsidRPr="004B787D">
        <w:rPr>
          <w:rFonts w:ascii="Times New Roman" w:hAnsi="Times New Roman"/>
          <w:b/>
          <w:sz w:val="24"/>
        </w:rPr>
        <w:t>ýsledk</w:t>
      </w:r>
      <w:r>
        <w:rPr>
          <w:rFonts w:ascii="Times New Roman" w:hAnsi="Times New Roman"/>
          <w:b/>
          <w:sz w:val="24"/>
        </w:rPr>
        <w:t>y</w:t>
      </w:r>
      <w:r w:rsidRPr="004B787D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2</w:t>
      </w:r>
      <w:r w:rsidRPr="004B787D">
        <w:rPr>
          <w:rFonts w:ascii="Times New Roman" w:hAnsi="Times New Roman"/>
          <w:b/>
          <w:sz w:val="24"/>
        </w:rPr>
        <w:t xml:space="preserve">. kroku </w:t>
      </w:r>
      <w:r>
        <w:rPr>
          <w:rFonts w:ascii="Times New Roman" w:hAnsi="Times New Roman"/>
          <w:b/>
          <w:sz w:val="24"/>
        </w:rPr>
        <w:t>S</w:t>
      </w:r>
      <w:r w:rsidRPr="004B787D">
        <w:rPr>
          <w:rFonts w:ascii="Times New Roman" w:hAnsi="Times New Roman"/>
          <w:b/>
          <w:sz w:val="24"/>
        </w:rPr>
        <w:t>tudie:</w:t>
      </w:r>
    </w:p>
    <w:p w:rsidR="00AB2B30" w:rsidRDefault="00AB2B30" w:rsidP="00B21581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Zpracovatel studie zpracuje jako součást návrhu zadání veřejné soutěže (specifikace) pro realizaci zvolené strategie integrace business analýzu cílového řešení integrovaného APV. Přitom vyjde ze zpracovaného business modelu stávajících APV z 1. kroku Studie. Business analýza bude rozpracovaná do takové míry detailu, aby bylo možné následně provést výpočet pracnosti tohoto APV metodou funkčních bodů, která je také požadována. Součástí analýzy vycházející z tohoto výpočtu bude i ohodnocení pracnosti cílového řešení integrovaného APV a jeho modulů.</w:t>
      </w:r>
    </w:p>
    <w:p w:rsidR="00AB2B30" w:rsidRDefault="00AB2B30" w:rsidP="00B21581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Dalším, relativně samostatným výstupem, budou podklady pro zpracování návrhu normativního výnosu MO pro zavedení business analýzy v resortu s využitím nástroje Enterprise Architect. Business analýza bude vycházet z metodiky BABOK 2.0 a bude navazovat na procesní model resortu MO, vedený v nástroji ARIS.  Součástí bude metodika tvorby a údržby Enterprise architektury (architektur resortu obrany) podle TOGAF 9.1 s možným využitím jazyka ArchiMate. Do analytického týmu zpracovatele budou zařazení příslušníci resortu, kteří se tak budou zacvičovat k provádění business analýzy a zpracování Enterprise architektury. </w:t>
      </w:r>
    </w:p>
    <w:p w:rsidR="00AB2B30" w:rsidRDefault="00AB2B30" w:rsidP="00B21581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AB2B30" w:rsidRDefault="00AB2B30" w:rsidP="008161EB">
      <w:pPr>
        <w:spacing w:after="0"/>
        <w:jc w:val="both"/>
        <w:rPr>
          <w:rFonts w:ascii="Times New Roman" w:hAnsi="Times New Roman"/>
          <w:b/>
          <w:sz w:val="24"/>
        </w:rPr>
      </w:pPr>
      <w:r w:rsidRPr="008161EB">
        <w:rPr>
          <w:rFonts w:ascii="Times New Roman" w:hAnsi="Times New Roman"/>
          <w:b/>
          <w:sz w:val="24"/>
        </w:rPr>
        <w:t>Další specifické požadavky na výsledky Studie:</w:t>
      </w:r>
    </w:p>
    <w:p w:rsidR="00AB2B30" w:rsidRPr="008161EB" w:rsidRDefault="00AB2B30" w:rsidP="008161EB">
      <w:pPr>
        <w:spacing w:after="0"/>
        <w:jc w:val="both"/>
        <w:rPr>
          <w:rFonts w:ascii="Times New Roman" w:hAnsi="Times New Roman"/>
          <w:b/>
          <w:sz w:val="24"/>
        </w:rPr>
      </w:pPr>
    </w:p>
    <w:p w:rsidR="00AB2B30" w:rsidRPr="00FF3514" w:rsidRDefault="00AB2B30" w:rsidP="00B21581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/>
          <w:b/>
          <w:sz w:val="24"/>
        </w:rPr>
      </w:pPr>
      <w:r w:rsidRPr="00FF3514">
        <w:rPr>
          <w:rFonts w:ascii="Times New Roman" w:hAnsi="Times New Roman"/>
          <w:b/>
          <w:sz w:val="24"/>
        </w:rPr>
        <w:t>V případě rozpracování strategie INSIDE BOX:</w:t>
      </w:r>
    </w:p>
    <w:p w:rsidR="00AB2B30" w:rsidRPr="00300D64" w:rsidRDefault="00AB2B30" w:rsidP="00B21581">
      <w:pPr>
        <w:pStyle w:val="ListParagraph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/>
          <w:b/>
          <w:sz w:val="24"/>
        </w:rPr>
      </w:pPr>
      <w:r w:rsidRPr="00300D64">
        <w:rPr>
          <w:rFonts w:ascii="Times New Roman" w:hAnsi="Times New Roman"/>
          <w:sz w:val="24"/>
        </w:rPr>
        <w:t>Zpracovatel kontaktuje možné zhotovitele komplexního proprietárního řešení. Zjistí jejich požada</w:t>
      </w:r>
      <w:r>
        <w:rPr>
          <w:rFonts w:ascii="Times New Roman" w:hAnsi="Times New Roman"/>
          <w:sz w:val="24"/>
        </w:rPr>
        <w:t>vky na technologickou platformu a infrastrukturu resortu MO a jejich připravenost předat kompletní dílo do rukou resortu MO (v rozsahu podle přílohy 3).</w:t>
      </w:r>
    </w:p>
    <w:p w:rsidR="00AB2B30" w:rsidRPr="00300D64" w:rsidRDefault="00AB2B30" w:rsidP="00B21581">
      <w:pPr>
        <w:pStyle w:val="ListParagraph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Zjistí schopnosti možných zhotovitelů z hlediska alokace personálu, cenové politiky, metodologie používané potenciálním zhotovitelem pro vývoj SW.</w:t>
      </w:r>
    </w:p>
    <w:p w:rsidR="00AB2B30" w:rsidRPr="00300D64" w:rsidRDefault="00AB2B30" w:rsidP="00B21581">
      <w:pPr>
        <w:pStyle w:val="ListParagraph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Ověří, které mezinárodní a průmyslové standardy potenciální zhotovitel používá, či zda vlastní některý z mezinárodních certifikátů kvality.</w:t>
      </w:r>
    </w:p>
    <w:p w:rsidR="00AB2B30" w:rsidRPr="008161EB" w:rsidRDefault="00AB2B30" w:rsidP="00B21581">
      <w:pPr>
        <w:pStyle w:val="ListParagraph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/>
          <w:b/>
          <w:sz w:val="24"/>
        </w:rPr>
      </w:pPr>
      <w:r w:rsidRPr="008161EB">
        <w:rPr>
          <w:rFonts w:ascii="Times New Roman" w:hAnsi="Times New Roman"/>
          <w:sz w:val="24"/>
        </w:rPr>
        <w:t>Zpracovatel vyhodnotí a doporučí, který potenciální zhotovitel nejlépe naplňuje potřeby resortu MO, především z pohledu ceny, udržovatelnosti integrované platformy APV a potenciální doby vývoje.</w:t>
      </w:r>
    </w:p>
    <w:p w:rsidR="00AB2B30" w:rsidRPr="006B5C27" w:rsidRDefault="00AB2B30" w:rsidP="00B21581">
      <w:pPr>
        <w:pStyle w:val="ListParagraph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V tomto případě bude největším požadavkem detailnost rozpracování business analýzy tak, aby byl dostatečným podkladem pro zhotovitele, který již nebude provádět výchozí analýzu požadavků a business analýzu řešení.</w:t>
      </w:r>
    </w:p>
    <w:p w:rsidR="00AB2B30" w:rsidRDefault="00AB2B30" w:rsidP="00B21581">
      <w:pPr>
        <w:pStyle w:val="ListParagraph"/>
        <w:spacing w:after="0"/>
        <w:ind w:left="851"/>
        <w:jc w:val="both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ind w:left="851"/>
        <w:jc w:val="both"/>
        <w:rPr>
          <w:rFonts w:ascii="Times New Roman" w:hAnsi="Times New Roman"/>
          <w:b/>
          <w:sz w:val="24"/>
        </w:rPr>
      </w:pPr>
    </w:p>
    <w:p w:rsidR="00AB2B30" w:rsidRPr="006B5C27" w:rsidRDefault="00AB2B30" w:rsidP="00B21581">
      <w:pPr>
        <w:pStyle w:val="ListParagraph"/>
        <w:spacing w:after="0"/>
        <w:ind w:left="851"/>
        <w:jc w:val="both"/>
        <w:rPr>
          <w:rFonts w:ascii="Times New Roman" w:hAnsi="Times New Roman"/>
          <w:b/>
          <w:sz w:val="24"/>
        </w:rPr>
      </w:pPr>
    </w:p>
    <w:p w:rsidR="00AB2B30" w:rsidRPr="00FF3514" w:rsidRDefault="00AB2B30" w:rsidP="00B21581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/>
          <w:b/>
          <w:sz w:val="24"/>
        </w:rPr>
      </w:pPr>
      <w:r w:rsidRPr="00FF3514">
        <w:rPr>
          <w:rFonts w:ascii="Times New Roman" w:hAnsi="Times New Roman"/>
          <w:b/>
          <w:sz w:val="24"/>
        </w:rPr>
        <w:t>V případě rozpracování strategie OUTSIDE BOX:</w:t>
      </w:r>
    </w:p>
    <w:p w:rsidR="00AB2B30" w:rsidRDefault="00AB2B30" w:rsidP="00B21581">
      <w:pPr>
        <w:pStyle w:val="ListParagraph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Business analýzy se budou zpracovávat pouze pro nově vytvářené doplňkové moduly APV (viz 1. krok studie).</w:t>
      </w:r>
    </w:p>
    <w:p w:rsidR="00AB2B30" w:rsidRDefault="00AB2B30" w:rsidP="00B21581">
      <w:pPr>
        <w:pStyle w:val="ListParagraph"/>
        <w:spacing w:after="0"/>
        <w:ind w:left="851"/>
        <w:jc w:val="both"/>
        <w:rPr>
          <w:rFonts w:ascii="Times New Roman" w:hAnsi="Times New Roman"/>
          <w:sz w:val="24"/>
        </w:rPr>
      </w:pPr>
    </w:p>
    <w:p w:rsidR="00AB2B30" w:rsidRDefault="00AB2B30" w:rsidP="00B21581">
      <w:pPr>
        <w:pStyle w:val="ListParagraph"/>
        <w:spacing w:after="0"/>
        <w:ind w:left="851"/>
        <w:jc w:val="both"/>
        <w:rPr>
          <w:rFonts w:ascii="Times New Roman" w:hAnsi="Times New Roman"/>
          <w:sz w:val="24"/>
        </w:rPr>
      </w:pPr>
    </w:p>
    <w:p w:rsidR="00AB2B30" w:rsidRPr="00FF3514" w:rsidRDefault="00AB2B30" w:rsidP="00B21581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/>
          <w:b/>
          <w:sz w:val="24"/>
        </w:rPr>
      </w:pPr>
      <w:r w:rsidRPr="00FF3514">
        <w:rPr>
          <w:rFonts w:ascii="Times New Roman" w:hAnsi="Times New Roman"/>
          <w:b/>
          <w:sz w:val="24"/>
        </w:rPr>
        <w:t>V případě rozpracování strategie BLACK BOX:</w:t>
      </w:r>
    </w:p>
    <w:p w:rsidR="00AB2B30" w:rsidRPr="007D48AF" w:rsidRDefault="00AB2B30" w:rsidP="00B21581">
      <w:pPr>
        <w:pStyle w:val="ListParagraph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/>
          <w:sz w:val="24"/>
        </w:rPr>
      </w:pPr>
      <w:r w:rsidRPr="007D48AF">
        <w:rPr>
          <w:rFonts w:ascii="Times New Roman" w:hAnsi="Times New Roman"/>
          <w:sz w:val="24"/>
        </w:rPr>
        <w:t>Hlavní důraz popisu této strategie musí být kladen:</w:t>
      </w:r>
    </w:p>
    <w:p w:rsidR="00AB2B30" w:rsidRDefault="00AB2B30" w:rsidP="00B21581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technické řešení integrační platformy založené na SOA.</w:t>
      </w:r>
    </w:p>
    <w:p w:rsidR="00AB2B30" w:rsidRDefault="00AB2B30" w:rsidP="00B21581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</w:rPr>
      </w:pPr>
      <w:r w:rsidRPr="007B4614"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z w:val="24"/>
        </w:rPr>
        <w:t xml:space="preserve">návrh </w:t>
      </w:r>
      <w:r w:rsidRPr="007B4614">
        <w:rPr>
          <w:rFonts w:ascii="Times New Roman" w:hAnsi="Times New Roman"/>
          <w:sz w:val="24"/>
        </w:rPr>
        <w:t>fáz</w:t>
      </w:r>
      <w:r>
        <w:rPr>
          <w:rFonts w:ascii="Times New Roman" w:hAnsi="Times New Roman"/>
          <w:sz w:val="24"/>
        </w:rPr>
        <w:t>í</w:t>
      </w:r>
      <w:r w:rsidRPr="007B4614">
        <w:rPr>
          <w:rFonts w:ascii="Times New Roman" w:hAnsi="Times New Roman"/>
          <w:sz w:val="24"/>
        </w:rPr>
        <w:t xml:space="preserve"> integrace jednotlivých APV do této platformy.</w:t>
      </w:r>
    </w:p>
    <w:p w:rsidR="00AB2B30" w:rsidRPr="007B4614" w:rsidRDefault="00AB2B30" w:rsidP="00B21581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</w:rPr>
      </w:pPr>
      <w:r w:rsidRPr="007B4614">
        <w:rPr>
          <w:rFonts w:ascii="Times New Roman" w:hAnsi="Times New Roman"/>
          <w:sz w:val="24"/>
        </w:rPr>
        <w:t>Na způsob dlouhodobé správy změn jak modulů integrační platformy</w:t>
      </w:r>
      <w:r>
        <w:rPr>
          <w:rFonts w:ascii="Times New Roman" w:hAnsi="Times New Roman"/>
          <w:sz w:val="24"/>
        </w:rPr>
        <w:t>,</w:t>
      </w:r>
      <w:r w:rsidRPr="007B4614">
        <w:rPr>
          <w:rFonts w:ascii="Times New Roman" w:hAnsi="Times New Roman"/>
          <w:sz w:val="24"/>
        </w:rPr>
        <w:t xml:space="preserve"> tak APV.</w:t>
      </w:r>
    </w:p>
    <w:p w:rsidR="00AB2B30" w:rsidRPr="004B787D" w:rsidRDefault="00AB2B30" w:rsidP="00B21581">
      <w:pPr>
        <w:pStyle w:val="ListParagraph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/>
          <w:sz w:val="24"/>
        </w:rPr>
      </w:pPr>
      <w:r w:rsidRPr="004B787D">
        <w:rPr>
          <w:rFonts w:ascii="Times New Roman" w:hAnsi="Times New Roman"/>
          <w:sz w:val="24"/>
        </w:rPr>
        <w:t>Musí být rozpracován popis kompetencí a znalostí týmu pro dohled nad integrací a správou APV (Kompetenčního centra) a strategie jeho postupného přechodu pod plnou správu resortu MO.</w:t>
      </w:r>
    </w:p>
    <w:p w:rsidR="00AB2B30" w:rsidRPr="004B787D" w:rsidRDefault="00AB2B30" w:rsidP="00B21581">
      <w:pPr>
        <w:pStyle w:val="ListParagraph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/>
          <w:sz w:val="24"/>
        </w:rPr>
      </w:pPr>
      <w:r w:rsidRPr="004B787D">
        <w:rPr>
          <w:rFonts w:ascii="Times New Roman" w:hAnsi="Times New Roman"/>
          <w:sz w:val="24"/>
        </w:rPr>
        <w:t>Dále bude zpracováno d</w:t>
      </w:r>
      <w:r>
        <w:rPr>
          <w:rFonts w:ascii="Times New Roman" w:hAnsi="Times New Roman"/>
          <w:sz w:val="24"/>
        </w:rPr>
        <w:t>oporučení k zavedení metodik</w:t>
      </w:r>
      <w:r w:rsidRPr="004B787D">
        <w:rPr>
          <w:rFonts w:ascii="Times New Roman" w:hAnsi="Times New Roman"/>
          <w:sz w:val="24"/>
        </w:rPr>
        <w:t xml:space="preserve"> pro řízení Architektur integrovaného prostředí.</w:t>
      </w:r>
    </w:p>
    <w:p w:rsidR="00AB2B30" w:rsidRPr="00CE5E6A" w:rsidRDefault="00AB2B30" w:rsidP="00B21581">
      <w:pPr>
        <w:pStyle w:val="ListParagraph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Zpracovatel připraví návrh pro </w:t>
      </w:r>
      <w:r w:rsidRPr="007F0571">
        <w:rPr>
          <w:rFonts w:ascii="Times New Roman" w:hAnsi="Times New Roman"/>
          <w:sz w:val="24"/>
        </w:rPr>
        <w:t>zadání veřejné soutěže</w:t>
      </w:r>
      <w:r>
        <w:rPr>
          <w:rFonts w:ascii="Times New Roman" w:hAnsi="Times New Roman"/>
          <w:sz w:val="24"/>
        </w:rPr>
        <w:t xml:space="preserve"> obsahující všechny výše uvedené požadavky.</w:t>
      </w: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AB2B30" w:rsidRPr="001752BE" w:rsidRDefault="00AB2B30" w:rsidP="001752BE">
      <w:pPr>
        <w:rPr>
          <w:rFonts w:ascii="Times New Roman" w:hAnsi="Times New Roman"/>
          <w:b/>
          <w:sz w:val="24"/>
          <w:szCs w:val="24"/>
        </w:rPr>
      </w:pPr>
      <w:r>
        <w:br w:type="page"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1752BE">
        <w:rPr>
          <w:rFonts w:ascii="Times New Roman" w:hAnsi="Times New Roman"/>
          <w:b/>
          <w:sz w:val="24"/>
          <w:szCs w:val="24"/>
        </w:rPr>
        <w:tab/>
        <w:t>Příloha 3</w:t>
      </w:r>
    </w:p>
    <w:p w:rsidR="00AB2B30" w:rsidRPr="007A6224" w:rsidRDefault="00AB2B30" w:rsidP="007A6224">
      <w:pPr>
        <w:pStyle w:val="Heading1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7" w:name="_Toc380057469"/>
      <w:r w:rsidRPr="007A6224">
        <w:rPr>
          <w:rFonts w:ascii="Times New Roman" w:hAnsi="Times New Roman"/>
          <w:color w:val="auto"/>
          <w:sz w:val="24"/>
          <w:szCs w:val="24"/>
        </w:rPr>
        <w:t>Licenční požadavky resortu na APV a jeho dodavatele</w:t>
      </w:r>
      <w:bookmarkEnd w:id="7"/>
    </w:p>
    <w:p w:rsidR="00AB2B30" w:rsidRDefault="00AB2B30" w:rsidP="008A3EDF">
      <w:pPr>
        <w:spacing w:after="0"/>
      </w:pPr>
    </w:p>
    <w:p w:rsidR="00AB2B30" w:rsidRDefault="00AB2B30" w:rsidP="00464F65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resort MO musí přejít úplné vlastnictví APV (modulů APV) tak, že resort se stane vykonavatelem majetkových práv k tomuto APV jako jeho objednavatel na základě smlouvy o dílo podle § 58 odst. 7 autorského zákona. Dodavatel (autor díla) může podle § 61 odst. 2 autorského zákona </w:t>
      </w:r>
      <w:r w:rsidRPr="00554113">
        <w:rPr>
          <w:rFonts w:ascii="Times New Roman" w:hAnsi="Times New Roman"/>
          <w:sz w:val="24"/>
        </w:rPr>
        <w:t>dílo vytvořené na objednávku užít a poskytnout licenci jinému, není-li to v rozporu s oprávněnými zájmy objednatele</w:t>
      </w:r>
      <w:r>
        <w:rPr>
          <w:rFonts w:ascii="Times New Roman" w:hAnsi="Times New Roman"/>
          <w:sz w:val="24"/>
        </w:rPr>
        <w:t xml:space="preserve"> (resortu MO).</w:t>
      </w:r>
    </w:p>
    <w:p w:rsidR="00AB2B30" w:rsidRDefault="00AB2B30" w:rsidP="00464F65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 musí také resortu MO postoupit výkon svého práva autorského k databázi APV jako soubornému dílu podle autorského zákona (ke struktuře databáze, ne k jejímu obsahu) v rozsahu, které resortu umožní   APV dále aktualizovat, modifikovat, upravovat a rozvíjet na základě řádného otevřeného výběrového řízení dle platného zákona o veřejných zakázkách.</w:t>
      </w:r>
    </w:p>
    <w:p w:rsidR="00AB2B30" w:rsidRDefault="00AB2B30" w:rsidP="00464F65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Kromě toho musí dodavatel resortu MO garantovat zvláštní práva pořizovatele databáze nad obsahem databáze, na které má zákonný nárok. Podle § 90, odst. 1 autorského zákona je to právo </w:t>
      </w:r>
      <w:r w:rsidRPr="00AB1A0E">
        <w:rPr>
          <w:rFonts w:ascii="Times New Roman" w:hAnsi="Times New Roman"/>
          <w:sz w:val="24"/>
        </w:rPr>
        <w:t>vytěžování nebo zužitkování celého obsahu databáze nebo její kvalitativně nebo kvantitativně podstatné části a právo udělit jinému oprávnění k výkonu tohoto práva.</w:t>
      </w:r>
    </w:p>
    <w:p w:rsidR="00AB2B30" w:rsidRDefault="00AB2B30" w:rsidP="008A3EDF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AB2B30" w:rsidRDefault="00AB2B30" w:rsidP="008A3EDF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Všechna tato práva musí být garantována </w:t>
      </w:r>
      <w:r w:rsidRPr="00080E24">
        <w:rPr>
          <w:rFonts w:ascii="Times New Roman" w:hAnsi="Times New Roman"/>
          <w:sz w:val="24"/>
        </w:rPr>
        <w:t xml:space="preserve">licenčním ujednáním </w:t>
      </w:r>
      <w:r>
        <w:rPr>
          <w:rFonts w:ascii="Times New Roman" w:hAnsi="Times New Roman"/>
          <w:sz w:val="24"/>
        </w:rPr>
        <w:t>ve smlouvě s dodavatelem.</w:t>
      </w:r>
    </w:p>
    <w:p w:rsidR="00AB2B30" w:rsidRDefault="00AB2B30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sectPr w:rsidR="00AB2B30" w:rsidSect="00932214"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B30" w:rsidRDefault="00AB2B30" w:rsidP="00462141">
      <w:pPr>
        <w:spacing w:after="0" w:line="240" w:lineRule="auto"/>
      </w:pPr>
      <w:r>
        <w:separator/>
      </w:r>
    </w:p>
  </w:endnote>
  <w:endnote w:type="continuationSeparator" w:id="0">
    <w:p w:rsidR="00AB2B30" w:rsidRDefault="00AB2B30" w:rsidP="0046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 tuc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B30" w:rsidRDefault="00AB2B30" w:rsidP="002B52DF">
    <w:pPr>
      <w:pStyle w:val="Footer"/>
      <w:jc w:val="center"/>
    </w:pPr>
    <w:fldSimple w:instr=" PAGE   \* MERGEFORMAT ">
      <w:r>
        <w:rPr>
          <w:noProof/>
        </w:rPr>
        <w:t>10</w:t>
      </w:r>
    </w:fldSimple>
  </w:p>
  <w:p w:rsidR="00AB2B30" w:rsidRDefault="00AB2B30" w:rsidP="00932214">
    <w:pPr>
      <w:pStyle w:val="Head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B30" w:rsidRDefault="00AB2B30" w:rsidP="00932214">
    <w:pPr>
      <w:pStyle w:val="Header"/>
      <w:jc w:val="center"/>
    </w:pPr>
  </w:p>
  <w:p w:rsidR="00AB2B30" w:rsidRDefault="00AB2B30">
    <w:pPr>
      <w:pStyle w:val="Footer"/>
      <w:jc w:val="center"/>
    </w:pPr>
  </w:p>
  <w:p w:rsidR="00AB2B30" w:rsidRDefault="00AB2B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B30" w:rsidRDefault="00AB2B30" w:rsidP="00462141">
      <w:pPr>
        <w:spacing w:after="0" w:line="240" w:lineRule="auto"/>
      </w:pPr>
      <w:r>
        <w:separator/>
      </w:r>
    </w:p>
  </w:footnote>
  <w:footnote w:type="continuationSeparator" w:id="0">
    <w:p w:rsidR="00AB2B30" w:rsidRDefault="00AB2B30" w:rsidP="00462141">
      <w:pPr>
        <w:spacing w:after="0" w:line="240" w:lineRule="auto"/>
      </w:pPr>
      <w:r>
        <w:continuationSeparator/>
      </w:r>
    </w:p>
  </w:footnote>
  <w:footnote w:id="1">
    <w:p w:rsidR="00AB2B30" w:rsidRDefault="00AB2B30" w:rsidP="009D0B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5316B">
        <w:rPr>
          <w:rFonts w:ascii="Times New Roman" w:hAnsi="Times New Roman"/>
        </w:rPr>
        <w:t>To znamená nejen cena SW, ale i náklady na personál, jeho školení, získání nových specialistů, hardware apod.</w:t>
      </w:r>
    </w:p>
  </w:footnote>
  <w:footnote w:id="2">
    <w:p w:rsidR="00AB2B30" w:rsidRPr="006866BE" w:rsidRDefault="00AB2B30" w:rsidP="00291382">
      <w:pPr>
        <w:pStyle w:val="BodyText"/>
        <w:spacing w:after="0"/>
        <w:jc w:val="both"/>
        <w:rPr>
          <w:sz w:val="16"/>
          <w:szCs w:val="16"/>
        </w:rPr>
      </w:pPr>
      <w:r w:rsidRPr="006866BE">
        <w:rPr>
          <w:rStyle w:val="FootnoteReference"/>
          <w:sz w:val="16"/>
          <w:szCs w:val="16"/>
        </w:rPr>
        <w:footnoteRef/>
      </w:r>
      <w:r w:rsidRPr="006866BE">
        <w:rPr>
          <w:sz w:val="16"/>
          <w:szCs w:val="16"/>
        </w:rPr>
        <w:t xml:space="preserve"> ISO/IEC 12207:2008 Systems and SW ingeneering – SW life cycle processes, </w:t>
      </w:r>
      <w:r>
        <w:rPr>
          <w:sz w:val="16"/>
          <w:szCs w:val="16"/>
        </w:rPr>
        <w:t>ISO/IEC 27001:2005 Information technology – Security techiques, Information management systems – Requirements.</w:t>
      </w:r>
    </w:p>
    <w:p w:rsidR="00AB2B30" w:rsidRDefault="00AB2B30" w:rsidP="00291382">
      <w:pPr>
        <w:pStyle w:val="BodyText"/>
        <w:spacing w:after="0"/>
        <w:jc w:val="both"/>
      </w:pPr>
    </w:p>
  </w:footnote>
  <w:footnote w:id="3">
    <w:p w:rsidR="00AB2B30" w:rsidRDefault="00AB2B30" w:rsidP="00B215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2192F">
        <w:rPr>
          <w:rFonts w:ascii="Times New Roman" w:hAnsi="Times New Roman"/>
        </w:rPr>
        <w:t>Bradley, Mary a kolektiv</w:t>
      </w:r>
      <w:r w:rsidRPr="0012192F">
        <w:rPr>
          <w:rFonts w:ascii="Times New Roman" w:hAnsi="Times New Roman"/>
          <w:i/>
        </w:rPr>
        <w:t>. International Function Point Users Group (IFPUG) – Function Point Counting Practices Manual</w:t>
      </w:r>
      <w:r w:rsidRPr="0012192F">
        <w:rPr>
          <w:rFonts w:ascii="Times New Roman" w:hAnsi="Times New Roman"/>
        </w:rPr>
        <w:t>, v</w:t>
      </w:r>
      <w:r>
        <w:rPr>
          <w:rFonts w:ascii="Times New Roman" w:hAnsi="Times New Roman"/>
        </w:rPr>
        <w:t>erze</w:t>
      </w:r>
      <w:r w:rsidRPr="0012192F">
        <w:rPr>
          <w:rFonts w:ascii="Times New Roman" w:hAnsi="Times New Roman"/>
        </w:rPr>
        <w:t xml:space="preserve"> 4.1, Wisconsin: Counting Practices Comitee, 1999, 335 str.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00C3"/>
    <w:multiLevelType w:val="multilevel"/>
    <w:tmpl w:val="14660B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B0445A5"/>
    <w:multiLevelType w:val="multilevel"/>
    <w:tmpl w:val="2C24CA54"/>
    <w:lvl w:ilvl="0">
      <w:start w:val="1"/>
      <w:numFmt w:val="decimal"/>
      <w:pStyle w:val="Styl1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Styl2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Styl3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cs="Times New Roman" w:hint="default"/>
      </w:rPr>
    </w:lvl>
  </w:abstractNum>
  <w:abstractNum w:abstractNumId="2">
    <w:nsid w:val="0CE3169B"/>
    <w:multiLevelType w:val="multilevel"/>
    <w:tmpl w:val="13B0A3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26E26C2"/>
    <w:multiLevelType w:val="multilevel"/>
    <w:tmpl w:val="1F429D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21282C2D"/>
    <w:multiLevelType w:val="hybridMultilevel"/>
    <w:tmpl w:val="FCB45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A1776"/>
    <w:multiLevelType w:val="multilevel"/>
    <w:tmpl w:val="FD5C76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6717E39"/>
    <w:multiLevelType w:val="multilevel"/>
    <w:tmpl w:val="41605C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29BB141D"/>
    <w:multiLevelType w:val="hybridMultilevel"/>
    <w:tmpl w:val="95A8F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643DE"/>
    <w:multiLevelType w:val="hybridMultilevel"/>
    <w:tmpl w:val="4EBA8A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D972C00"/>
    <w:multiLevelType w:val="hybridMultilevel"/>
    <w:tmpl w:val="3212607E"/>
    <w:lvl w:ilvl="0" w:tplc="19FC5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E9660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209406F"/>
    <w:multiLevelType w:val="hybridMultilevel"/>
    <w:tmpl w:val="69F8C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E47A7"/>
    <w:multiLevelType w:val="hybridMultilevel"/>
    <w:tmpl w:val="4ABC8A2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5C20B50"/>
    <w:multiLevelType w:val="hybridMultilevel"/>
    <w:tmpl w:val="5E402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A3229"/>
    <w:multiLevelType w:val="hybridMultilevel"/>
    <w:tmpl w:val="E70C3F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E03B2C"/>
    <w:multiLevelType w:val="multilevel"/>
    <w:tmpl w:val="5C0215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3A39639F"/>
    <w:multiLevelType w:val="hybridMultilevel"/>
    <w:tmpl w:val="0F84A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306F17"/>
    <w:multiLevelType w:val="hybridMultilevel"/>
    <w:tmpl w:val="4E94F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B3B34"/>
    <w:multiLevelType w:val="multilevel"/>
    <w:tmpl w:val="53F658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%13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9">
    <w:nsid w:val="44924A19"/>
    <w:multiLevelType w:val="hybridMultilevel"/>
    <w:tmpl w:val="DBB44A6C"/>
    <w:lvl w:ilvl="0" w:tplc="EA185A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FF33B8"/>
    <w:multiLevelType w:val="hybridMultilevel"/>
    <w:tmpl w:val="AD1C9ED4"/>
    <w:lvl w:ilvl="0" w:tplc="903A84F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EF37FD"/>
    <w:multiLevelType w:val="hybridMultilevel"/>
    <w:tmpl w:val="B4A00136"/>
    <w:lvl w:ilvl="0" w:tplc="0405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4FE078B5"/>
    <w:multiLevelType w:val="hybridMultilevel"/>
    <w:tmpl w:val="CEFACF2A"/>
    <w:lvl w:ilvl="0" w:tplc="9902485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EA095D"/>
    <w:multiLevelType w:val="multilevel"/>
    <w:tmpl w:val="952C26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50D71164"/>
    <w:multiLevelType w:val="hybridMultilevel"/>
    <w:tmpl w:val="A328CC8C"/>
    <w:lvl w:ilvl="0" w:tplc="DEE6B75A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8D0E69"/>
    <w:multiLevelType w:val="hybridMultilevel"/>
    <w:tmpl w:val="6A7EBEC6"/>
    <w:lvl w:ilvl="0" w:tplc="389648E2">
      <w:start w:val="1"/>
      <w:numFmt w:val="lowerLetter"/>
      <w:pStyle w:val="U3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684EFA"/>
    <w:multiLevelType w:val="hybridMultilevel"/>
    <w:tmpl w:val="0366D8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5E2A8C"/>
    <w:multiLevelType w:val="hybridMultilevel"/>
    <w:tmpl w:val="F6B4FFEA"/>
    <w:lvl w:ilvl="0" w:tplc="7C06622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ED7AF9"/>
    <w:multiLevelType w:val="hybridMultilevel"/>
    <w:tmpl w:val="B85E8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162DCD"/>
    <w:multiLevelType w:val="hybridMultilevel"/>
    <w:tmpl w:val="A8E25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A5B6148"/>
    <w:multiLevelType w:val="hybridMultilevel"/>
    <w:tmpl w:val="8CEE18F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CF94E6F"/>
    <w:multiLevelType w:val="hybridMultilevel"/>
    <w:tmpl w:val="BE1A992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08B4CAA"/>
    <w:multiLevelType w:val="multilevel"/>
    <w:tmpl w:val="DD56E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72E801C2"/>
    <w:multiLevelType w:val="hybridMultilevel"/>
    <w:tmpl w:val="F73ECDBA"/>
    <w:lvl w:ilvl="0" w:tplc="E6B403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7363647C"/>
    <w:multiLevelType w:val="hybridMultilevel"/>
    <w:tmpl w:val="D4183B8A"/>
    <w:lvl w:ilvl="0" w:tplc="89F28CF2">
      <w:start w:val="1"/>
      <w:numFmt w:val="decimal"/>
      <w:pStyle w:val="U1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8606051"/>
    <w:multiLevelType w:val="multilevel"/>
    <w:tmpl w:val="EE6C64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U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33"/>
  </w:num>
  <w:num w:numId="3">
    <w:abstractNumId w:val="25"/>
  </w:num>
  <w:num w:numId="4">
    <w:abstractNumId w:val="19"/>
  </w:num>
  <w:num w:numId="5">
    <w:abstractNumId w:val="27"/>
  </w:num>
  <w:num w:numId="6">
    <w:abstractNumId w:val="24"/>
  </w:num>
  <w:num w:numId="7">
    <w:abstractNumId w:val="17"/>
  </w:num>
  <w:num w:numId="8">
    <w:abstractNumId w:val="21"/>
  </w:num>
  <w:num w:numId="9">
    <w:abstractNumId w:val="14"/>
  </w:num>
  <w:num w:numId="10">
    <w:abstractNumId w:val="23"/>
  </w:num>
  <w:num w:numId="11">
    <w:abstractNumId w:val="12"/>
  </w:num>
  <w:num w:numId="12">
    <w:abstractNumId w:val="4"/>
  </w:num>
  <w:num w:numId="13">
    <w:abstractNumId w:val="34"/>
  </w:num>
  <w:num w:numId="14">
    <w:abstractNumId w:val="13"/>
  </w:num>
  <w:num w:numId="15">
    <w:abstractNumId w:val="16"/>
  </w:num>
  <w:num w:numId="16">
    <w:abstractNumId w:val="15"/>
  </w:num>
  <w:num w:numId="17">
    <w:abstractNumId w:val="18"/>
  </w:num>
  <w:num w:numId="18">
    <w:abstractNumId w:val="10"/>
  </w:num>
  <w:num w:numId="19">
    <w:abstractNumId w:val="28"/>
  </w:num>
  <w:num w:numId="20">
    <w:abstractNumId w:val="20"/>
  </w:num>
  <w:num w:numId="21">
    <w:abstractNumId w:val="7"/>
  </w:num>
  <w:num w:numId="22">
    <w:abstractNumId w:val="3"/>
  </w:num>
  <w:num w:numId="23">
    <w:abstractNumId w:val="5"/>
  </w:num>
  <w:num w:numId="24">
    <w:abstractNumId w:val="32"/>
  </w:num>
  <w:num w:numId="25">
    <w:abstractNumId w:val="35"/>
  </w:num>
  <w:num w:numId="26">
    <w:abstractNumId w:val="0"/>
  </w:num>
  <w:num w:numId="27">
    <w:abstractNumId w:val="2"/>
  </w:num>
  <w:num w:numId="28">
    <w:abstractNumId w:val="6"/>
  </w:num>
  <w:num w:numId="29">
    <w:abstractNumId w:val="31"/>
  </w:num>
  <w:num w:numId="30">
    <w:abstractNumId w:val="1"/>
  </w:num>
  <w:num w:numId="31">
    <w:abstractNumId w:val="9"/>
  </w:num>
  <w:num w:numId="32">
    <w:abstractNumId w:val="29"/>
  </w:num>
  <w:num w:numId="33">
    <w:abstractNumId w:val="26"/>
  </w:num>
  <w:num w:numId="34">
    <w:abstractNumId w:val="30"/>
  </w:num>
  <w:num w:numId="35">
    <w:abstractNumId w:val="8"/>
  </w:num>
  <w:num w:numId="36">
    <w:abstractNumId w:val="2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F49"/>
    <w:rsid w:val="00001FFF"/>
    <w:rsid w:val="00003C63"/>
    <w:rsid w:val="000071C7"/>
    <w:rsid w:val="000147E7"/>
    <w:rsid w:val="0002189B"/>
    <w:rsid w:val="00021A8E"/>
    <w:rsid w:val="00022EEB"/>
    <w:rsid w:val="0002412E"/>
    <w:rsid w:val="00030F02"/>
    <w:rsid w:val="00036BC4"/>
    <w:rsid w:val="0004048A"/>
    <w:rsid w:val="000442F6"/>
    <w:rsid w:val="00046388"/>
    <w:rsid w:val="00046BD1"/>
    <w:rsid w:val="00053EB7"/>
    <w:rsid w:val="000551D8"/>
    <w:rsid w:val="00056FD7"/>
    <w:rsid w:val="00064EC1"/>
    <w:rsid w:val="0007060B"/>
    <w:rsid w:val="00070C6F"/>
    <w:rsid w:val="00076A9A"/>
    <w:rsid w:val="00077723"/>
    <w:rsid w:val="00080E24"/>
    <w:rsid w:val="000812AF"/>
    <w:rsid w:val="000939A2"/>
    <w:rsid w:val="000944A8"/>
    <w:rsid w:val="000944D6"/>
    <w:rsid w:val="000A69A0"/>
    <w:rsid w:val="000B491B"/>
    <w:rsid w:val="000C4733"/>
    <w:rsid w:val="000C4D41"/>
    <w:rsid w:val="000D2924"/>
    <w:rsid w:val="000D48F9"/>
    <w:rsid w:val="000D63E8"/>
    <w:rsid w:val="000E0F20"/>
    <w:rsid w:val="000E37CF"/>
    <w:rsid w:val="000E5EC0"/>
    <w:rsid w:val="000F4EBF"/>
    <w:rsid w:val="00101E49"/>
    <w:rsid w:val="001053BD"/>
    <w:rsid w:val="00105BFC"/>
    <w:rsid w:val="001075E6"/>
    <w:rsid w:val="0011184A"/>
    <w:rsid w:val="001212A1"/>
    <w:rsid w:val="0012192F"/>
    <w:rsid w:val="0012198A"/>
    <w:rsid w:val="00122C63"/>
    <w:rsid w:val="00123594"/>
    <w:rsid w:val="00123C3F"/>
    <w:rsid w:val="00124EE1"/>
    <w:rsid w:val="0013248C"/>
    <w:rsid w:val="00141AB1"/>
    <w:rsid w:val="00142ECC"/>
    <w:rsid w:val="00147C3F"/>
    <w:rsid w:val="00152346"/>
    <w:rsid w:val="00156757"/>
    <w:rsid w:val="00160FAC"/>
    <w:rsid w:val="0017212B"/>
    <w:rsid w:val="00174A0B"/>
    <w:rsid w:val="001752BE"/>
    <w:rsid w:val="00175F4A"/>
    <w:rsid w:val="001855D9"/>
    <w:rsid w:val="0018658B"/>
    <w:rsid w:val="00186736"/>
    <w:rsid w:val="00195E47"/>
    <w:rsid w:val="001A134E"/>
    <w:rsid w:val="001A2068"/>
    <w:rsid w:val="001A2B9C"/>
    <w:rsid w:val="001A5EA8"/>
    <w:rsid w:val="001C1BBE"/>
    <w:rsid w:val="001C2E7D"/>
    <w:rsid w:val="001C3D74"/>
    <w:rsid w:val="001C7FBC"/>
    <w:rsid w:val="001D6AE5"/>
    <w:rsid w:val="001E082E"/>
    <w:rsid w:val="001E08AE"/>
    <w:rsid w:val="001E5D69"/>
    <w:rsid w:val="001E657C"/>
    <w:rsid w:val="001F5ACB"/>
    <w:rsid w:val="001F6190"/>
    <w:rsid w:val="002009E8"/>
    <w:rsid w:val="00202F1A"/>
    <w:rsid w:val="002041BE"/>
    <w:rsid w:val="0020784C"/>
    <w:rsid w:val="00214D1C"/>
    <w:rsid w:val="00220D84"/>
    <w:rsid w:val="00221971"/>
    <w:rsid w:val="002220CA"/>
    <w:rsid w:val="002224F6"/>
    <w:rsid w:val="00222969"/>
    <w:rsid w:val="00223AFB"/>
    <w:rsid w:val="00226E31"/>
    <w:rsid w:val="002455FE"/>
    <w:rsid w:val="00250E50"/>
    <w:rsid w:val="0025249C"/>
    <w:rsid w:val="00252E47"/>
    <w:rsid w:val="00262C51"/>
    <w:rsid w:val="0027180B"/>
    <w:rsid w:val="00272142"/>
    <w:rsid w:val="002742F6"/>
    <w:rsid w:val="00282EA2"/>
    <w:rsid w:val="0028483D"/>
    <w:rsid w:val="00285C52"/>
    <w:rsid w:val="00291382"/>
    <w:rsid w:val="00292714"/>
    <w:rsid w:val="002A000E"/>
    <w:rsid w:val="002A396B"/>
    <w:rsid w:val="002A693B"/>
    <w:rsid w:val="002A761F"/>
    <w:rsid w:val="002B17ED"/>
    <w:rsid w:val="002B18F9"/>
    <w:rsid w:val="002B2323"/>
    <w:rsid w:val="002B52DF"/>
    <w:rsid w:val="002B7B1C"/>
    <w:rsid w:val="002C0089"/>
    <w:rsid w:val="002C032D"/>
    <w:rsid w:val="002C22D9"/>
    <w:rsid w:val="002C4B3B"/>
    <w:rsid w:val="002C72D9"/>
    <w:rsid w:val="002D2E0F"/>
    <w:rsid w:val="002D6023"/>
    <w:rsid w:val="002E007A"/>
    <w:rsid w:val="002E0673"/>
    <w:rsid w:val="002E2918"/>
    <w:rsid w:val="002E3DBD"/>
    <w:rsid w:val="002E5718"/>
    <w:rsid w:val="002E7806"/>
    <w:rsid w:val="002F2861"/>
    <w:rsid w:val="002F3D2E"/>
    <w:rsid w:val="002F63B2"/>
    <w:rsid w:val="00300630"/>
    <w:rsid w:val="00300D64"/>
    <w:rsid w:val="003041B6"/>
    <w:rsid w:val="003114DE"/>
    <w:rsid w:val="003115B7"/>
    <w:rsid w:val="0031190D"/>
    <w:rsid w:val="00313235"/>
    <w:rsid w:val="00320E2A"/>
    <w:rsid w:val="0032275B"/>
    <w:rsid w:val="00322A25"/>
    <w:rsid w:val="00323388"/>
    <w:rsid w:val="00324888"/>
    <w:rsid w:val="00332037"/>
    <w:rsid w:val="003342B2"/>
    <w:rsid w:val="003372B9"/>
    <w:rsid w:val="00341A9F"/>
    <w:rsid w:val="0034281A"/>
    <w:rsid w:val="003452FB"/>
    <w:rsid w:val="0035076E"/>
    <w:rsid w:val="00354FE2"/>
    <w:rsid w:val="00360290"/>
    <w:rsid w:val="003604D8"/>
    <w:rsid w:val="00362C1F"/>
    <w:rsid w:val="00372D2A"/>
    <w:rsid w:val="00377CAA"/>
    <w:rsid w:val="00377E5E"/>
    <w:rsid w:val="00381D24"/>
    <w:rsid w:val="003846A6"/>
    <w:rsid w:val="00385B78"/>
    <w:rsid w:val="00385F01"/>
    <w:rsid w:val="00387349"/>
    <w:rsid w:val="00390D25"/>
    <w:rsid w:val="00397B67"/>
    <w:rsid w:val="003A1C15"/>
    <w:rsid w:val="003A53A6"/>
    <w:rsid w:val="003B0E01"/>
    <w:rsid w:val="003D4A23"/>
    <w:rsid w:val="003D4E87"/>
    <w:rsid w:val="003D5DF2"/>
    <w:rsid w:val="003D749F"/>
    <w:rsid w:val="003D7A64"/>
    <w:rsid w:val="003E03E9"/>
    <w:rsid w:val="003E73B5"/>
    <w:rsid w:val="003E7C8A"/>
    <w:rsid w:val="003F32A6"/>
    <w:rsid w:val="003F4C2D"/>
    <w:rsid w:val="003F6E89"/>
    <w:rsid w:val="00402888"/>
    <w:rsid w:val="00403A7D"/>
    <w:rsid w:val="00407099"/>
    <w:rsid w:val="00410C61"/>
    <w:rsid w:val="00411E38"/>
    <w:rsid w:val="004128BE"/>
    <w:rsid w:val="00415B3C"/>
    <w:rsid w:val="00417ADE"/>
    <w:rsid w:val="0042129A"/>
    <w:rsid w:val="004237B4"/>
    <w:rsid w:val="0042783C"/>
    <w:rsid w:val="00433501"/>
    <w:rsid w:val="00437177"/>
    <w:rsid w:val="00454CC5"/>
    <w:rsid w:val="00455E26"/>
    <w:rsid w:val="00457328"/>
    <w:rsid w:val="00462141"/>
    <w:rsid w:val="00462367"/>
    <w:rsid w:val="00463191"/>
    <w:rsid w:val="00464839"/>
    <w:rsid w:val="00464F65"/>
    <w:rsid w:val="0046545C"/>
    <w:rsid w:val="0046657D"/>
    <w:rsid w:val="00467049"/>
    <w:rsid w:val="00473932"/>
    <w:rsid w:val="00481735"/>
    <w:rsid w:val="004844D2"/>
    <w:rsid w:val="00484BFC"/>
    <w:rsid w:val="00486EAD"/>
    <w:rsid w:val="004873BC"/>
    <w:rsid w:val="004876BF"/>
    <w:rsid w:val="004957A2"/>
    <w:rsid w:val="004A185B"/>
    <w:rsid w:val="004A5AA6"/>
    <w:rsid w:val="004A5B99"/>
    <w:rsid w:val="004B20C0"/>
    <w:rsid w:val="004B2E18"/>
    <w:rsid w:val="004B39AF"/>
    <w:rsid w:val="004B6C8C"/>
    <w:rsid w:val="004B787D"/>
    <w:rsid w:val="004C3CC1"/>
    <w:rsid w:val="004D19B7"/>
    <w:rsid w:val="004E13DF"/>
    <w:rsid w:val="004E37C1"/>
    <w:rsid w:val="004E784C"/>
    <w:rsid w:val="004F04F3"/>
    <w:rsid w:val="004F268C"/>
    <w:rsid w:val="0051176A"/>
    <w:rsid w:val="00513F5F"/>
    <w:rsid w:val="00516F11"/>
    <w:rsid w:val="00523ECD"/>
    <w:rsid w:val="005246F5"/>
    <w:rsid w:val="00525158"/>
    <w:rsid w:val="00526D20"/>
    <w:rsid w:val="00535123"/>
    <w:rsid w:val="005413FC"/>
    <w:rsid w:val="00545A2B"/>
    <w:rsid w:val="00550C34"/>
    <w:rsid w:val="005527D6"/>
    <w:rsid w:val="00554113"/>
    <w:rsid w:val="0055570F"/>
    <w:rsid w:val="005607CF"/>
    <w:rsid w:val="00562ECC"/>
    <w:rsid w:val="005722FE"/>
    <w:rsid w:val="00572B33"/>
    <w:rsid w:val="0057669C"/>
    <w:rsid w:val="005833D5"/>
    <w:rsid w:val="00585A9B"/>
    <w:rsid w:val="005861C6"/>
    <w:rsid w:val="00592ED6"/>
    <w:rsid w:val="00593C86"/>
    <w:rsid w:val="00596322"/>
    <w:rsid w:val="00596FAA"/>
    <w:rsid w:val="005A300E"/>
    <w:rsid w:val="005B3E9F"/>
    <w:rsid w:val="005B4828"/>
    <w:rsid w:val="005C1BF0"/>
    <w:rsid w:val="005D4393"/>
    <w:rsid w:val="005D4BF0"/>
    <w:rsid w:val="005D7941"/>
    <w:rsid w:val="005E29BA"/>
    <w:rsid w:val="005E581D"/>
    <w:rsid w:val="005E66F8"/>
    <w:rsid w:val="005F0A6F"/>
    <w:rsid w:val="005F17AD"/>
    <w:rsid w:val="005F28ED"/>
    <w:rsid w:val="005F3B6E"/>
    <w:rsid w:val="006025FA"/>
    <w:rsid w:val="0060483C"/>
    <w:rsid w:val="00605F15"/>
    <w:rsid w:val="006077DC"/>
    <w:rsid w:val="006110C2"/>
    <w:rsid w:val="00613ABF"/>
    <w:rsid w:val="00614363"/>
    <w:rsid w:val="006203A8"/>
    <w:rsid w:val="00621400"/>
    <w:rsid w:val="00623B4B"/>
    <w:rsid w:val="00627466"/>
    <w:rsid w:val="006344DE"/>
    <w:rsid w:val="00644E3F"/>
    <w:rsid w:val="00647CF6"/>
    <w:rsid w:val="00655749"/>
    <w:rsid w:val="00661026"/>
    <w:rsid w:val="006621AA"/>
    <w:rsid w:val="006639AF"/>
    <w:rsid w:val="006641C9"/>
    <w:rsid w:val="00666DF1"/>
    <w:rsid w:val="00672FE4"/>
    <w:rsid w:val="006776BB"/>
    <w:rsid w:val="006866BE"/>
    <w:rsid w:val="00690540"/>
    <w:rsid w:val="00693879"/>
    <w:rsid w:val="006A09C6"/>
    <w:rsid w:val="006A55A8"/>
    <w:rsid w:val="006A56C3"/>
    <w:rsid w:val="006A5923"/>
    <w:rsid w:val="006A689C"/>
    <w:rsid w:val="006B1230"/>
    <w:rsid w:val="006B1715"/>
    <w:rsid w:val="006B2995"/>
    <w:rsid w:val="006B5C27"/>
    <w:rsid w:val="006C13A2"/>
    <w:rsid w:val="006C312D"/>
    <w:rsid w:val="006C50CD"/>
    <w:rsid w:val="006D0B84"/>
    <w:rsid w:val="006D5566"/>
    <w:rsid w:val="006E2072"/>
    <w:rsid w:val="006E34C2"/>
    <w:rsid w:val="006E79E6"/>
    <w:rsid w:val="006F4820"/>
    <w:rsid w:val="006F4AD2"/>
    <w:rsid w:val="00703668"/>
    <w:rsid w:val="00707AF2"/>
    <w:rsid w:val="00710038"/>
    <w:rsid w:val="007130F4"/>
    <w:rsid w:val="0071470A"/>
    <w:rsid w:val="00714FD1"/>
    <w:rsid w:val="007171CE"/>
    <w:rsid w:val="00721D99"/>
    <w:rsid w:val="00727C60"/>
    <w:rsid w:val="0073377B"/>
    <w:rsid w:val="00745EDB"/>
    <w:rsid w:val="00746E50"/>
    <w:rsid w:val="00747831"/>
    <w:rsid w:val="00751F84"/>
    <w:rsid w:val="007542E8"/>
    <w:rsid w:val="00763B67"/>
    <w:rsid w:val="00775B3F"/>
    <w:rsid w:val="00781F9F"/>
    <w:rsid w:val="007847E8"/>
    <w:rsid w:val="007907CE"/>
    <w:rsid w:val="0079573F"/>
    <w:rsid w:val="00795A2E"/>
    <w:rsid w:val="007964FD"/>
    <w:rsid w:val="007A3264"/>
    <w:rsid w:val="007A56C0"/>
    <w:rsid w:val="007A6224"/>
    <w:rsid w:val="007B1726"/>
    <w:rsid w:val="007B321E"/>
    <w:rsid w:val="007B4614"/>
    <w:rsid w:val="007B5425"/>
    <w:rsid w:val="007C088E"/>
    <w:rsid w:val="007C0E2A"/>
    <w:rsid w:val="007C4C22"/>
    <w:rsid w:val="007C4E40"/>
    <w:rsid w:val="007C7EC5"/>
    <w:rsid w:val="007D2200"/>
    <w:rsid w:val="007D48AF"/>
    <w:rsid w:val="007D5117"/>
    <w:rsid w:val="007E0F49"/>
    <w:rsid w:val="007E1C7F"/>
    <w:rsid w:val="007F0571"/>
    <w:rsid w:val="007F4318"/>
    <w:rsid w:val="008038B3"/>
    <w:rsid w:val="00806C56"/>
    <w:rsid w:val="00807600"/>
    <w:rsid w:val="008102B4"/>
    <w:rsid w:val="008161EB"/>
    <w:rsid w:val="00820C7D"/>
    <w:rsid w:val="00822682"/>
    <w:rsid w:val="008258E7"/>
    <w:rsid w:val="008307CC"/>
    <w:rsid w:val="00837D92"/>
    <w:rsid w:val="008402C2"/>
    <w:rsid w:val="00840A54"/>
    <w:rsid w:val="00840D0B"/>
    <w:rsid w:val="00845447"/>
    <w:rsid w:val="00846FC5"/>
    <w:rsid w:val="00854029"/>
    <w:rsid w:val="008564A3"/>
    <w:rsid w:val="00863F2D"/>
    <w:rsid w:val="008678ED"/>
    <w:rsid w:val="00873530"/>
    <w:rsid w:val="00877702"/>
    <w:rsid w:val="00886E38"/>
    <w:rsid w:val="0088716D"/>
    <w:rsid w:val="00892229"/>
    <w:rsid w:val="008A184A"/>
    <w:rsid w:val="008A218C"/>
    <w:rsid w:val="008A3EDF"/>
    <w:rsid w:val="008B780D"/>
    <w:rsid w:val="008C011F"/>
    <w:rsid w:val="008C09B8"/>
    <w:rsid w:val="008C52C6"/>
    <w:rsid w:val="008D51FA"/>
    <w:rsid w:val="008D7729"/>
    <w:rsid w:val="008E503F"/>
    <w:rsid w:val="008F105D"/>
    <w:rsid w:val="008F1734"/>
    <w:rsid w:val="008F42D5"/>
    <w:rsid w:val="00901AF0"/>
    <w:rsid w:val="0090227C"/>
    <w:rsid w:val="009028B6"/>
    <w:rsid w:val="009056B7"/>
    <w:rsid w:val="00907C58"/>
    <w:rsid w:val="00914594"/>
    <w:rsid w:val="00917541"/>
    <w:rsid w:val="00932214"/>
    <w:rsid w:val="00932C51"/>
    <w:rsid w:val="00934261"/>
    <w:rsid w:val="009402E4"/>
    <w:rsid w:val="0094252B"/>
    <w:rsid w:val="00942A44"/>
    <w:rsid w:val="00944D09"/>
    <w:rsid w:val="00945265"/>
    <w:rsid w:val="00947238"/>
    <w:rsid w:val="00947639"/>
    <w:rsid w:val="00947AC5"/>
    <w:rsid w:val="00953FC3"/>
    <w:rsid w:val="00954E2F"/>
    <w:rsid w:val="009640A2"/>
    <w:rsid w:val="00967BED"/>
    <w:rsid w:val="00973CE6"/>
    <w:rsid w:val="0098129A"/>
    <w:rsid w:val="009817A1"/>
    <w:rsid w:val="00985C11"/>
    <w:rsid w:val="009913B6"/>
    <w:rsid w:val="00991AAA"/>
    <w:rsid w:val="00994020"/>
    <w:rsid w:val="009A4F23"/>
    <w:rsid w:val="009B00B4"/>
    <w:rsid w:val="009B5332"/>
    <w:rsid w:val="009B6E86"/>
    <w:rsid w:val="009C001D"/>
    <w:rsid w:val="009C1474"/>
    <w:rsid w:val="009C37FB"/>
    <w:rsid w:val="009C4B0D"/>
    <w:rsid w:val="009C5A3E"/>
    <w:rsid w:val="009D0222"/>
    <w:rsid w:val="009D044A"/>
    <w:rsid w:val="009D0BF3"/>
    <w:rsid w:val="009D64B2"/>
    <w:rsid w:val="009D6BA9"/>
    <w:rsid w:val="009E008B"/>
    <w:rsid w:val="009E1E45"/>
    <w:rsid w:val="009E5D31"/>
    <w:rsid w:val="009F5566"/>
    <w:rsid w:val="00A02943"/>
    <w:rsid w:val="00A04823"/>
    <w:rsid w:val="00A05A17"/>
    <w:rsid w:val="00A1267A"/>
    <w:rsid w:val="00A14948"/>
    <w:rsid w:val="00A16F32"/>
    <w:rsid w:val="00A231D6"/>
    <w:rsid w:val="00A30DD9"/>
    <w:rsid w:val="00A3161A"/>
    <w:rsid w:val="00A35AB0"/>
    <w:rsid w:val="00A35F39"/>
    <w:rsid w:val="00A4016C"/>
    <w:rsid w:val="00A40E73"/>
    <w:rsid w:val="00A4540D"/>
    <w:rsid w:val="00A52FB8"/>
    <w:rsid w:val="00A56726"/>
    <w:rsid w:val="00A613D4"/>
    <w:rsid w:val="00A67DE1"/>
    <w:rsid w:val="00A81823"/>
    <w:rsid w:val="00A939F4"/>
    <w:rsid w:val="00A94470"/>
    <w:rsid w:val="00A97B31"/>
    <w:rsid w:val="00A97DC2"/>
    <w:rsid w:val="00AA1A7A"/>
    <w:rsid w:val="00AA26D5"/>
    <w:rsid w:val="00AA55A4"/>
    <w:rsid w:val="00AB1A0E"/>
    <w:rsid w:val="00AB28C2"/>
    <w:rsid w:val="00AB2B30"/>
    <w:rsid w:val="00AB7593"/>
    <w:rsid w:val="00AC2167"/>
    <w:rsid w:val="00AC6354"/>
    <w:rsid w:val="00AD1109"/>
    <w:rsid w:val="00AD4699"/>
    <w:rsid w:val="00AE4EED"/>
    <w:rsid w:val="00AE6455"/>
    <w:rsid w:val="00AF0B99"/>
    <w:rsid w:val="00AF0DE1"/>
    <w:rsid w:val="00AF2816"/>
    <w:rsid w:val="00AF4C98"/>
    <w:rsid w:val="00B01586"/>
    <w:rsid w:val="00B04501"/>
    <w:rsid w:val="00B04708"/>
    <w:rsid w:val="00B10194"/>
    <w:rsid w:val="00B114CC"/>
    <w:rsid w:val="00B1385A"/>
    <w:rsid w:val="00B13AE0"/>
    <w:rsid w:val="00B15DA5"/>
    <w:rsid w:val="00B21581"/>
    <w:rsid w:val="00B25A4A"/>
    <w:rsid w:val="00B26C65"/>
    <w:rsid w:val="00B27CFC"/>
    <w:rsid w:val="00B31A72"/>
    <w:rsid w:val="00B32DA1"/>
    <w:rsid w:val="00B3332D"/>
    <w:rsid w:val="00B33D64"/>
    <w:rsid w:val="00B3790B"/>
    <w:rsid w:val="00B4267E"/>
    <w:rsid w:val="00B51D67"/>
    <w:rsid w:val="00B5316B"/>
    <w:rsid w:val="00B60FEA"/>
    <w:rsid w:val="00B6116F"/>
    <w:rsid w:val="00B617CC"/>
    <w:rsid w:val="00B6709F"/>
    <w:rsid w:val="00B67782"/>
    <w:rsid w:val="00B67A17"/>
    <w:rsid w:val="00B718FD"/>
    <w:rsid w:val="00B72C20"/>
    <w:rsid w:val="00B74474"/>
    <w:rsid w:val="00B74C1A"/>
    <w:rsid w:val="00B81058"/>
    <w:rsid w:val="00B83B7C"/>
    <w:rsid w:val="00B84927"/>
    <w:rsid w:val="00BA0101"/>
    <w:rsid w:val="00BA24CA"/>
    <w:rsid w:val="00BA6631"/>
    <w:rsid w:val="00BA72DF"/>
    <w:rsid w:val="00BC33B7"/>
    <w:rsid w:val="00BC37F0"/>
    <w:rsid w:val="00BC7FC4"/>
    <w:rsid w:val="00BE2505"/>
    <w:rsid w:val="00BE295E"/>
    <w:rsid w:val="00BE3E64"/>
    <w:rsid w:val="00BE6067"/>
    <w:rsid w:val="00BE6FCB"/>
    <w:rsid w:val="00BE7081"/>
    <w:rsid w:val="00BE76E6"/>
    <w:rsid w:val="00BE79D2"/>
    <w:rsid w:val="00BF0A42"/>
    <w:rsid w:val="00BF232E"/>
    <w:rsid w:val="00C00876"/>
    <w:rsid w:val="00C02198"/>
    <w:rsid w:val="00C10829"/>
    <w:rsid w:val="00C10EF5"/>
    <w:rsid w:val="00C11FB2"/>
    <w:rsid w:val="00C172AC"/>
    <w:rsid w:val="00C1789E"/>
    <w:rsid w:val="00C222CA"/>
    <w:rsid w:val="00C252A5"/>
    <w:rsid w:val="00C31639"/>
    <w:rsid w:val="00C31943"/>
    <w:rsid w:val="00C32A9C"/>
    <w:rsid w:val="00C428B9"/>
    <w:rsid w:val="00C430CC"/>
    <w:rsid w:val="00C45F31"/>
    <w:rsid w:val="00C47718"/>
    <w:rsid w:val="00C57425"/>
    <w:rsid w:val="00C64E98"/>
    <w:rsid w:val="00C6517F"/>
    <w:rsid w:val="00C6527B"/>
    <w:rsid w:val="00C67539"/>
    <w:rsid w:val="00C71EB7"/>
    <w:rsid w:val="00C77CDA"/>
    <w:rsid w:val="00C92783"/>
    <w:rsid w:val="00C971E7"/>
    <w:rsid w:val="00C97797"/>
    <w:rsid w:val="00C97C39"/>
    <w:rsid w:val="00CB08A0"/>
    <w:rsid w:val="00CC0DE2"/>
    <w:rsid w:val="00CC23DB"/>
    <w:rsid w:val="00CE5E6A"/>
    <w:rsid w:val="00CF0A86"/>
    <w:rsid w:val="00CF0ACA"/>
    <w:rsid w:val="00CF16DC"/>
    <w:rsid w:val="00CF4766"/>
    <w:rsid w:val="00CF5AA5"/>
    <w:rsid w:val="00D00836"/>
    <w:rsid w:val="00D008CF"/>
    <w:rsid w:val="00D03BA6"/>
    <w:rsid w:val="00D10487"/>
    <w:rsid w:val="00D16283"/>
    <w:rsid w:val="00D17DC7"/>
    <w:rsid w:val="00D17EF5"/>
    <w:rsid w:val="00D20034"/>
    <w:rsid w:val="00D2104B"/>
    <w:rsid w:val="00D215B6"/>
    <w:rsid w:val="00D21E83"/>
    <w:rsid w:val="00D222AE"/>
    <w:rsid w:val="00D23072"/>
    <w:rsid w:val="00D250A8"/>
    <w:rsid w:val="00D307FF"/>
    <w:rsid w:val="00D41106"/>
    <w:rsid w:val="00D43681"/>
    <w:rsid w:val="00D53856"/>
    <w:rsid w:val="00D62D05"/>
    <w:rsid w:val="00D63F6A"/>
    <w:rsid w:val="00D650C5"/>
    <w:rsid w:val="00D65A3F"/>
    <w:rsid w:val="00D66947"/>
    <w:rsid w:val="00D70993"/>
    <w:rsid w:val="00D83EA6"/>
    <w:rsid w:val="00D86DFD"/>
    <w:rsid w:val="00D97C12"/>
    <w:rsid w:val="00DB5F55"/>
    <w:rsid w:val="00DB6A51"/>
    <w:rsid w:val="00DC002F"/>
    <w:rsid w:val="00DC2939"/>
    <w:rsid w:val="00DC4754"/>
    <w:rsid w:val="00DC6689"/>
    <w:rsid w:val="00DD2FB9"/>
    <w:rsid w:val="00DD47C8"/>
    <w:rsid w:val="00DD7A25"/>
    <w:rsid w:val="00DE3317"/>
    <w:rsid w:val="00DF253C"/>
    <w:rsid w:val="00DF71D5"/>
    <w:rsid w:val="00E0024A"/>
    <w:rsid w:val="00E030C8"/>
    <w:rsid w:val="00E063F0"/>
    <w:rsid w:val="00E07AB8"/>
    <w:rsid w:val="00E111C5"/>
    <w:rsid w:val="00E1265B"/>
    <w:rsid w:val="00E168E8"/>
    <w:rsid w:val="00E22569"/>
    <w:rsid w:val="00E23C97"/>
    <w:rsid w:val="00E26B8C"/>
    <w:rsid w:val="00E2702B"/>
    <w:rsid w:val="00E31D53"/>
    <w:rsid w:val="00E33C23"/>
    <w:rsid w:val="00E3766D"/>
    <w:rsid w:val="00E37FBC"/>
    <w:rsid w:val="00E51EA6"/>
    <w:rsid w:val="00E527F6"/>
    <w:rsid w:val="00E62C83"/>
    <w:rsid w:val="00E634AA"/>
    <w:rsid w:val="00E67B87"/>
    <w:rsid w:val="00E74F71"/>
    <w:rsid w:val="00E81BEF"/>
    <w:rsid w:val="00E8358B"/>
    <w:rsid w:val="00E85AE3"/>
    <w:rsid w:val="00E87082"/>
    <w:rsid w:val="00E945D1"/>
    <w:rsid w:val="00EA32B7"/>
    <w:rsid w:val="00EA52F9"/>
    <w:rsid w:val="00EB1E1B"/>
    <w:rsid w:val="00EB2EE6"/>
    <w:rsid w:val="00EB462E"/>
    <w:rsid w:val="00EB6CBA"/>
    <w:rsid w:val="00EC2D85"/>
    <w:rsid w:val="00EC3B2A"/>
    <w:rsid w:val="00EC748A"/>
    <w:rsid w:val="00ED390A"/>
    <w:rsid w:val="00EE4F09"/>
    <w:rsid w:val="00EE65BE"/>
    <w:rsid w:val="00EE668D"/>
    <w:rsid w:val="00EF186C"/>
    <w:rsid w:val="00EF3467"/>
    <w:rsid w:val="00EF6848"/>
    <w:rsid w:val="00EF6A2C"/>
    <w:rsid w:val="00EF6EF5"/>
    <w:rsid w:val="00F01E06"/>
    <w:rsid w:val="00F041F5"/>
    <w:rsid w:val="00F07D8E"/>
    <w:rsid w:val="00F10333"/>
    <w:rsid w:val="00F10DEE"/>
    <w:rsid w:val="00F135FB"/>
    <w:rsid w:val="00F145A2"/>
    <w:rsid w:val="00F16FC2"/>
    <w:rsid w:val="00F26EDA"/>
    <w:rsid w:val="00F26F6C"/>
    <w:rsid w:val="00F304D5"/>
    <w:rsid w:val="00F307AD"/>
    <w:rsid w:val="00F3227A"/>
    <w:rsid w:val="00F322A6"/>
    <w:rsid w:val="00F32D9F"/>
    <w:rsid w:val="00F33A6B"/>
    <w:rsid w:val="00F46245"/>
    <w:rsid w:val="00F47EEC"/>
    <w:rsid w:val="00F515E2"/>
    <w:rsid w:val="00F556F8"/>
    <w:rsid w:val="00F577B6"/>
    <w:rsid w:val="00F62DE8"/>
    <w:rsid w:val="00F67C78"/>
    <w:rsid w:val="00F7479E"/>
    <w:rsid w:val="00F74F59"/>
    <w:rsid w:val="00F7620E"/>
    <w:rsid w:val="00F8125E"/>
    <w:rsid w:val="00F84A7C"/>
    <w:rsid w:val="00F9019A"/>
    <w:rsid w:val="00F90EC6"/>
    <w:rsid w:val="00F93969"/>
    <w:rsid w:val="00F96AA0"/>
    <w:rsid w:val="00FA0020"/>
    <w:rsid w:val="00FA1135"/>
    <w:rsid w:val="00FA5D53"/>
    <w:rsid w:val="00FB0565"/>
    <w:rsid w:val="00FB24BD"/>
    <w:rsid w:val="00FB663A"/>
    <w:rsid w:val="00FB6DF3"/>
    <w:rsid w:val="00FB7A32"/>
    <w:rsid w:val="00FC1106"/>
    <w:rsid w:val="00FC7877"/>
    <w:rsid w:val="00FD35EC"/>
    <w:rsid w:val="00FD4452"/>
    <w:rsid w:val="00FD4B76"/>
    <w:rsid w:val="00FD7EE9"/>
    <w:rsid w:val="00FF3002"/>
    <w:rsid w:val="00FF3514"/>
    <w:rsid w:val="00FF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4E37C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52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689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0EC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52D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689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90EC6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link w:val="ListParagraphChar"/>
    <w:uiPriority w:val="99"/>
    <w:qFormat/>
    <w:rsid w:val="007E0F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4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783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4621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6214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46214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B8492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84927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al"/>
    <w:link w:val="ListParagraphChar1"/>
    <w:uiPriority w:val="99"/>
    <w:rsid w:val="00B84927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</w:rPr>
  </w:style>
  <w:style w:type="character" w:customStyle="1" w:styleId="ListParagraphChar1">
    <w:name w:val="List Paragraph Char1"/>
    <w:basedOn w:val="DefaultParagraphFont"/>
    <w:link w:val="Odstavecseseznamem2"/>
    <w:uiPriority w:val="99"/>
    <w:locked/>
    <w:rsid w:val="00B84927"/>
    <w:rPr>
      <w:rFonts w:ascii="Times New Roman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rsid w:val="00C4771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7718"/>
    <w:rPr>
      <w:rFonts w:ascii="Courier New" w:hAnsi="Courier New" w:cs="Courier New"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rsid w:val="00C4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7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4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4771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D60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6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D602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6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D6023"/>
    <w:rPr>
      <w:b/>
      <w:bCs/>
    </w:rPr>
  </w:style>
  <w:style w:type="table" w:styleId="TableGrid">
    <w:name w:val="Table Grid"/>
    <w:basedOn w:val="TableNormal"/>
    <w:uiPriority w:val="99"/>
    <w:rsid w:val="007171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1">
    <w:name w:val="U1"/>
    <w:basedOn w:val="Heading1"/>
    <w:link w:val="U1Char"/>
    <w:uiPriority w:val="99"/>
    <w:rsid w:val="00E111C5"/>
    <w:pPr>
      <w:numPr>
        <w:numId w:val="13"/>
      </w:numPr>
    </w:pPr>
    <w:rPr>
      <w:color w:val="0D0D0D"/>
    </w:rPr>
  </w:style>
  <w:style w:type="paragraph" w:customStyle="1" w:styleId="U2">
    <w:name w:val="U2"/>
    <w:basedOn w:val="U1"/>
    <w:link w:val="U2Char"/>
    <w:autoRedefine/>
    <w:uiPriority w:val="99"/>
    <w:rsid w:val="00142ECC"/>
    <w:pPr>
      <w:numPr>
        <w:ilvl w:val="1"/>
        <w:numId w:val="25"/>
      </w:numPr>
      <w:spacing w:after="240"/>
      <w:jc w:val="both"/>
    </w:pPr>
    <w:rPr>
      <w:rFonts w:ascii="Times New Roman" w:hAnsi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FD4B76"/>
    <w:rPr>
      <w:rFonts w:cs="Times New Roman"/>
    </w:rPr>
  </w:style>
  <w:style w:type="character" w:customStyle="1" w:styleId="U1Char">
    <w:name w:val="U1 Char"/>
    <w:basedOn w:val="ListParagraphChar"/>
    <w:link w:val="U1"/>
    <w:uiPriority w:val="99"/>
    <w:locked/>
    <w:rsid w:val="00E111C5"/>
    <w:rPr>
      <w:rFonts w:ascii="Cambria" w:hAnsi="Cambria"/>
      <w:b/>
      <w:bCs/>
      <w:color w:val="0D0D0D"/>
      <w:sz w:val="28"/>
      <w:szCs w:val="28"/>
    </w:rPr>
  </w:style>
  <w:style w:type="character" w:customStyle="1" w:styleId="U2Char">
    <w:name w:val="U2 Char"/>
    <w:basedOn w:val="ListParagraphChar"/>
    <w:link w:val="U2"/>
    <w:uiPriority w:val="99"/>
    <w:locked/>
    <w:rsid w:val="00142ECC"/>
    <w:rPr>
      <w:rFonts w:ascii="Times New Roman" w:hAnsi="Times New Roman"/>
      <w:b/>
      <w:bCs/>
      <w:color w:val="0D0D0D"/>
      <w:sz w:val="28"/>
      <w:szCs w:val="28"/>
    </w:rPr>
  </w:style>
  <w:style w:type="paragraph" w:styleId="NormalWeb">
    <w:name w:val="Normal (Web)"/>
    <w:basedOn w:val="Normal"/>
    <w:uiPriority w:val="99"/>
    <w:semiHidden/>
    <w:rsid w:val="00F96AA0"/>
    <w:pPr>
      <w:spacing w:after="15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99"/>
    <w:qFormat/>
    <w:rsid w:val="001855D9"/>
    <w:rPr>
      <w:rFonts w:cs="Times New Roman"/>
      <w:b/>
      <w:bCs/>
    </w:rPr>
  </w:style>
  <w:style w:type="paragraph" w:customStyle="1" w:styleId="Normln1">
    <w:name w:val="Normální1"/>
    <w:basedOn w:val="Normal"/>
    <w:next w:val="Normal"/>
    <w:uiPriority w:val="99"/>
    <w:rsid w:val="0032338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itle">
    <w:name w:val="Title"/>
    <w:basedOn w:val="Normal"/>
    <w:next w:val="Normal"/>
    <w:link w:val="TitleChar"/>
    <w:uiPriority w:val="99"/>
    <w:qFormat/>
    <w:rsid w:val="0018673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8673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99"/>
    <w:rsid w:val="00F90EC6"/>
    <w:pPr>
      <w:spacing w:after="100"/>
    </w:pPr>
  </w:style>
  <w:style w:type="character" w:styleId="Hyperlink">
    <w:name w:val="Hyperlink"/>
    <w:basedOn w:val="DefaultParagraphFont"/>
    <w:uiPriority w:val="99"/>
    <w:rsid w:val="00F90EC6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rsid w:val="00F90EC6"/>
    <w:pPr>
      <w:spacing w:after="100"/>
      <w:ind w:left="220"/>
    </w:pPr>
  </w:style>
  <w:style w:type="paragraph" w:styleId="NoSpacing">
    <w:name w:val="No Spacing"/>
    <w:uiPriority w:val="99"/>
    <w:qFormat/>
    <w:rsid w:val="00DD47C8"/>
    <w:rPr>
      <w:lang w:eastAsia="en-US"/>
    </w:rPr>
  </w:style>
  <w:style w:type="paragraph" w:customStyle="1" w:styleId="U3">
    <w:name w:val="U3"/>
    <w:basedOn w:val="ListParagraph"/>
    <w:link w:val="U3Char"/>
    <w:uiPriority w:val="99"/>
    <w:rsid w:val="00B5316B"/>
    <w:pPr>
      <w:numPr>
        <w:numId w:val="3"/>
      </w:numPr>
      <w:spacing w:after="0"/>
    </w:pPr>
    <w:rPr>
      <w:rFonts w:ascii="Times New Roman" w:hAnsi="Times New Roman"/>
      <w:b/>
      <w:sz w:val="24"/>
    </w:rPr>
  </w:style>
  <w:style w:type="character" w:customStyle="1" w:styleId="U3Char">
    <w:name w:val="U3 Char"/>
    <w:basedOn w:val="ListParagraphChar"/>
    <w:link w:val="U3"/>
    <w:uiPriority w:val="99"/>
    <w:locked/>
    <w:rsid w:val="00B5316B"/>
    <w:rPr>
      <w:rFonts w:ascii="Times New Roman" w:hAnsi="Times New Roman"/>
      <w:b/>
      <w:sz w:val="24"/>
    </w:rPr>
  </w:style>
  <w:style w:type="paragraph" w:styleId="TOCHeading">
    <w:name w:val="TOC Heading"/>
    <w:basedOn w:val="Heading1"/>
    <w:next w:val="Normal"/>
    <w:uiPriority w:val="99"/>
    <w:qFormat/>
    <w:rsid w:val="00746E50"/>
    <w:pPr>
      <w:outlineLvl w:val="9"/>
    </w:pPr>
  </w:style>
  <w:style w:type="paragraph" w:customStyle="1" w:styleId="Styl1">
    <w:name w:val="Styl1"/>
    <w:basedOn w:val="Normal"/>
    <w:uiPriority w:val="99"/>
    <w:rsid w:val="00B21581"/>
    <w:pPr>
      <w:numPr>
        <w:numId w:val="30"/>
      </w:numPr>
      <w:spacing w:after="0" w:line="240" w:lineRule="auto"/>
      <w:contextualSpacing/>
      <w:jc w:val="both"/>
    </w:pPr>
    <w:rPr>
      <w:rFonts w:ascii="Times New Roman" w:eastAsia="Times New Roman" w:hAnsi="Times New Roman"/>
      <w:b/>
      <w:sz w:val="24"/>
    </w:rPr>
  </w:style>
  <w:style w:type="paragraph" w:customStyle="1" w:styleId="Styl2">
    <w:name w:val="Styl2"/>
    <w:basedOn w:val="Normal"/>
    <w:link w:val="Styl2Char"/>
    <w:uiPriority w:val="99"/>
    <w:rsid w:val="00B21581"/>
    <w:pPr>
      <w:numPr>
        <w:ilvl w:val="1"/>
        <w:numId w:val="30"/>
      </w:numPr>
      <w:spacing w:after="0" w:line="240" w:lineRule="auto"/>
      <w:contextualSpacing/>
      <w:jc w:val="both"/>
    </w:pPr>
    <w:rPr>
      <w:rFonts w:ascii="Times New Roman" w:eastAsia="Times New Roman" w:hAnsi="Times New Roman"/>
      <w:b/>
      <w:sz w:val="24"/>
    </w:rPr>
  </w:style>
  <w:style w:type="paragraph" w:customStyle="1" w:styleId="Styl3">
    <w:name w:val="Styl3"/>
    <w:basedOn w:val="Normal"/>
    <w:uiPriority w:val="99"/>
    <w:rsid w:val="00B21581"/>
    <w:pPr>
      <w:numPr>
        <w:ilvl w:val="2"/>
        <w:numId w:val="30"/>
      </w:numPr>
      <w:spacing w:after="0" w:line="240" w:lineRule="auto"/>
      <w:contextualSpacing/>
      <w:jc w:val="both"/>
    </w:pPr>
    <w:rPr>
      <w:rFonts w:ascii="Times New Roman" w:eastAsia="Times New Roman" w:hAnsi="Times New Roman"/>
      <w:b/>
      <w:sz w:val="24"/>
    </w:rPr>
  </w:style>
  <w:style w:type="character" w:customStyle="1" w:styleId="Styl2Char">
    <w:name w:val="Styl2 Char"/>
    <w:basedOn w:val="DefaultParagraphFont"/>
    <w:link w:val="Styl2"/>
    <w:uiPriority w:val="99"/>
    <w:locked/>
    <w:rsid w:val="00B21581"/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link w:val="EndnoteTextChar"/>
    <w:uiPriority w:val="99"/>
    <w:semiHidden/>
    <w:rsid w:val="002927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92714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29271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370">
                          <w:marLeft w:val="10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837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367">
                          <w:marLeft w:val="10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837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4.jpeg" Type="http://schemas.openxmlformats.org/officeDocument/2006/relationships/image"/>
<Relationship Id="rId11" Target="media/image5.jpeg" Type="http://schemas.openxmlformats.org/officeDocument/2006/relationships/image"/>
<Relationship Id="rId12" Target="media/image6.jpeg" Type="http://schemas.openxmlformats.org/officeDocument/2006/relationships/image"/>
<Relationship Id="rId13" Target="media/image7.jpeg" Type="http://schemas.openxmlformats.org/officeDocument/2006/relationships/image"/>
<Relationship Id="rId14" Target="footer1.xml" Type="http://schemas.openxmlformats.org/officeDocument/2006/relationships/footer"/>
<Relationship Id="rId15" Target="footer2.xml" Type="http://schemas.openxmlformats.org/officeDocument/2006/relationships/footer"/>
<Relationship Id="rId16" Target="fontTable.xml" Type="http://schemas.openxmlformats.org/officeDocument/2006/relationships/fontTable"/>
<Relationship Id="rId17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media/image2.jpeg" Type="http://schemas.openxmlformats.org/officeDocument/2006/relationships/image"/>
<Relationship Id="rId9" Target="media/image3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10</Pages>
  <Words>2175</Words>
  <Characters>12833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