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A29" w:rsidRPr="00B21581" w:rsidRDefault="00464A29" w:rsidP="00B60FEA">
      <w:pPr>
        <w:pStyle w:val="Title"/>
        <w:framePr w:wrap="auto" w:vAnchor="margin" w:yAlign="inline"/>
        <w:jc w:val="center"/>
        <w:rPr>
          <w:rFonts w:ascii="Times New Roman" w:hAnsi="Times New Roman"/>
          <w:b/>
          <w:color w:val="auto"/>
          <w:sz w:val="44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.15pt;margin-top:33.4pt;width:406.6pt;height:36.3pt;z-index:251658240" fillcolor="#ffc000">
            <v:textbox style="mso-next-textbox:#_x0000_s1026">
              <w:txbxContent>
                <w:p w:rsidR="00464A29" w:rsidRPr="002A396B" w:rsidRDefault="00464A29" w:rsidP="002A396B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2A396B">
                    <w:rPr>
                      <w:rFonts w:ascii="Times New Roman tucné" w:hAnsi="Times New Roman tucné"/>
                      <w:imprint/>
                      <w:sz w:val="36"/>
                    </w:rPr>
                    <w:t>„Projektová podpora integrace resortních APV“</w:t>
                  </w:r>
                </w:p>
                <w:p w:rsidR="00464A29" w:rsidRDefault="00464A29" w:rsidP="002A396B">
                  <w:pPr>
                    <w:jc w:val="center"/>
                  </w:pPr>
                </w:p>
              </w:txbxContent>
            </v:textbox>
          </v:shape>
        </w:pict>
      </w:r>
      <w:r w:rsidRPr="00B21581">
        <w:rPr>
          <w:rFonts w:ascii="Times New Roman" w:hAnsi="Times New Roman"/>
          <w:b/>
          <w:color w:val="auto"/>
          <w:sz w:val="44"/>
        </w:rPr>
        <w:t>Marketingový průzkum</w:t>
      </w:r>
    </w:p>
    <w:p w:rsidR="00464A29" w:rsidRDefault="00464A29" w:rsidP="00C47718">
      <w:pPr>
        <w:pStyle w:val="ListParagraph"/>
        <w:ind w:left="1080"/>
        <w:jc w:val="both"/>
        <w:rPr>
          <w:rFonts w:ascii="Times New Roman" w:hAnsi="Times New Roman"/>
          <w:sz w:val="24"/>
        </w:rPr>
      </w:pPr>
    </w:p>
    <w:p w:rsidR="00464A29" w:rsidRDefault="00464A29" w:rsidP="00C47718">
      <w:pPr>
        <w:pStyle w:val="ListParagraph"/>
        <w:ind w:left="1080"/>
        <w:jc w:val="both"/>
        <w:rPr>
          <w:rFonts w:ascii="Times New Roman" w:hAnsi="Times New Roman"/>
          <w:sz w:val="24"/>
        </w:rPr>
      </w:pPr>
    </w:p>
    <w:p w:rsidR="00464A29" w:rsidRPr="002041BE" w:rsidRDefault="00464A29" w:rsidP="00853C83">
      <w:pPr>
        <w:pStyle w:val="ListParagraph"/>
        <w:ind w:left="0"/>
        <w:jc w:val="center"/>
        <w:rPr>
          <w:rFonts w:ascii="Times New Roman" w:hAnsi="Times New Roman"/>
        </w:rPr>
      </w:pPr>
      <w:r w:rsidRPr="002041BE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oranžová</w:t>
      </w:r>
      <w:r w:rsidRPr="002041BE">
        <w:rPr>
          <w:rFonts w:ascii="Times New Roman" w:hAnsi="Times New Roman"/>
        </w:rPr>
        <w:t xml:space="preserve"> výplň rámečku indikuje místo tohoto průzkumu</w:t>
      </w:r>
    </w:p>
    <w:p w:rsidR="00464A29" w:rsidRPr="002041BE" w:rsidRDefault="00464A29" w:rsidP="00853C83">
      <w:pPr>
        <w:pStyle w:val="ListParagraph"/>
        <w:ind w:left="0"/>
        <w:jc w:val="center"/>
        <w:rPr>
          <w:rFonts w:ascii="Times New Roman" w:hAnsi="Times New Roman"/>
        </w:rPr>
      </w:pPr>
      <w:r w:rsidRPr="002041BE">
        <w:rPr>
          <w:rFonts w:ascii="Times New Roman" w:hAnsi="Times New Roman"/>
        </w:rPr>
        <w:t>v celkovém kontextu marketingového průzkumu podle obrázku)</w:t>
      </w:r>
    </w:p>
    <w:p w:rsidR="00464A29" w:rsidRDefault="00464A29" w:rsidP="00741A56">
      <w:pPr>
        <w:pStyle w:val="ListParagraph"/>
        <w:ind w:left="0"/>
        <w:jc w:val="both"/>
        <w:rPr>
          <w:rFonts w:ascii="Times New Roman" w:hAnsi="Times New Roman"/>
          <w:sz w:val="24"/>
        </w:rPr>
      </w:pPr>
    </w:p>
    <w:p w:rsidR="00464A29" w:rsidRDefault="00464A29" w:rsidP="00C47718">
      <w:pPr>
        <w:pStyle w:val="ListParagraph"/>
        <w:ind w:left="1080"/>
        <w:jc w:val="both"/>
        <w:rPr>
          <w:rFonts w:ascii="Times New Roman" w:hAnsi="Times New Roman"/>
          <w:sz w:val="24"/>
        </w:rPr>
      </w:pPr>
    </w:p>
    <w:p w:rsidR="00464A29" w:rsidRDefault="00464A29" w:rsidP="00ED7FDB">
      <w:pPr>
        <w:pStyle w:val="ListParagraph"/>
        <w:ind w:left="1080" w:hanging="1080"/>
        <w:jc w:val="both"/>
        <w:rPr>
          <w:rFonts w:ascii="Times New Roman" w:hAnsi="Times New Roman"/>
          <w:sz w:val="24"/>
        </w:rPr>
      </w:pPr>
      <w:r w:rsidRPr="003D7D99">
        <w:rPr>
          <w:rFonts w:ascii="Times New Roman" w:hAnsi="Times New Roman"/>
          <w:noProof/>
          <w:sz w:val="24"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obsah marketingového průzkumu (2).JPG" style="width:435pt;height:241.5pt;visibility:visible">
            <v:imagedata r:id="rId7" o:title=""/>
          </v:shape>
        </w:pict>
      </w:r>
    </w:p>
    <w:p w:rsidR="00464A29" w:rsidRPr="00483A09" w:rsidRDefault="00464A29" w:rsidP="00483A09">
      <w:pPr>
        <w:pStyle w:val="U3"/>
        <w:ind w:left="426" w:hanging="426"/>
      </w:pPr>
      <w:r w:rsidRPr="00526D20">
        <w:t xml:space="preserve">Požadavky na </w:t>
      </w:r>
      <w:r>
        <w:t>projektovou podporu pro integraci resortních APV</w:t>
      </w:r>
    </w:p>
    <w:p w:rsidR="00464A29" w:rsidRDefault="00464A29" w:rsidP="00926E63">
      <w:pPr>
        <w:spacing w:after="0"/>
        <w:ind w:left="360" w:firstLine="349"/>
        <w:jc w:val="both"/>
        <w:rPr>
          <w:rFonts w:ascii="Times New Roman" w:hAnsi="Times New Roman"/>
          <w:sz w:val="24"/>
        </w:rPr>
      </w:pPr>
    </w:p>
    <w:p w:rsidR="00464A29" w:rsidRDefault="00464A29" w:rsidP="00E53DE3">
      <w:pPr>
        <w:spacing w:after="120"/>
        <w:ind w:firstLine="349"/>
        <w:jc w:val="both"/>
        <w:rPr>
          <w:rFonts w:ascii="Times New Roman" w:hAnsi="Times New Roman"/>
          <w:sz w:val="24"/>
        </w:rPr>
      </w:pPr>
      <w:r w:rsidRPr="00926E63">
        <w:rPr>
          <w:rFonts w:ascii="Times New Roman" w:hAnsi="Times New Roman"/>
          <w:sz w:val="24"/>
        </w:rPr>
        <w:t xml:space="preserve">Projektová podpora bude využita </w:t>
      </w:r>
      <w:r>
        <w:rPr>
          <w:rFonts w:ascii="Times New Roman" w:hAnsi="Times New Roman"/>
          <w:sz w:val="24"/>
        </w:rPr>
        <w:t>pro jednotlivé strategie integrace APV (viz příloha 1) takto:</w:t>
      </w:r>
    </w:p>
    <w:p w:rsidR="00464A29" w:rsidRDefault="00464A29" w:rsidP="00E53DE3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4"/>
        </w:rPr>
      </w:pPr>
      <w:r w:rsidRPr="00E53DE3">
        <w:rPr>
          <w:rFonts w:ascii="Times New Roman" w:hAnsi="Times New Roman"/>
          <w:b/>
          <w:sz w:val="24"/>
        </w:rPr>
        <w:t>BLACK BOX</w:t>
      </w:r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</w:p>
    <w:p w:rsidR="00464A29" w:rsidRDefault="00464A29" w:rsidP="00E53DE3">
      <w:pPr>
        <w:pStyle w:val="ListParagraph"/>
        <w:numPr>
          <w:ilvl w:val="1"/>
          <w:numId w:val="2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Při realizaci této strategie budou požadavky na projektovou podporu nejvyšší. </w:t>
      </w:r>
    </w:p>
    <w:p w:rsidR="00464A29" w:rsidRDefault="00464A29" w:rsidP="00E53DE3">
      <w:pPr>
        <w:pStyle w:val="ListParagraph"/>
        <w:numPr>
          <w:ilvl w:val="1"/>
          <w:numId w:val="2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Při této strategii bude dosaženo integrace APV postupnými kroky. </w:t>
      </w:r>
    </w:p>
    <w:p w:rsidR="00464A29" w:rsidRDefault="00464A29" w:rsidP="00E53DE3">
      <w:pPr>
        <w:pStyle w:val="ListParagraph"/>
        <w:numPr>
          <w:ilvl w:val="1"/>
          <w:numId w:val="2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Cílem je postupně upravit existující APV a jeho moduly tak, aby všechno určené APV bylo integrováno do nově vznikajícího integrovaného APV. </w:t>
      </w:r>
    </w:p>
    <w:p w:rsidR="00464A29" w:rsidRDefault="00464A29" w:rsidP="00E53DE3">
      <w:pPr>
        <w:pStyle w:val="ListParagraph"/>
        <w:numPr>
          <w:ilvl w:val="1"/>
          <w:numId w:val="2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Dodavatelem projektové podpory musí být nezávislý subjekt.</w:t>
      </w:r>
    </w:p>
    <w:p w:rsidR="00464A29" w:rsidRDefault="00464A29" w:rsidP="00E53DE3">
      <w:pPr>
        <w:pStyle w:val="ListParagraph"/>
        <w:numPr>
          <w:ilvl w:val="1"/>
          <w:numId w:val="2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Součástí projektové podpory (projektové kanceláře) bude v tomto případě i role systémového integrátora. </w:t>
      </w:r>
    </w:p>
    <w:p w:rsidR="00464A29" w:rsidRPr="00E53DE3" w:rsidRDefault="00464A29" w:rsidP="00E53DE3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b/>
          <w:sz w:val="24"/>
        </w:rPr>
      </w:pPr>
      <w:r w:rsidRPr="00E53DE3">
        <w:rPr>
          <w:rFonts w:ascii="Times New Roman" w:hAnsi="Times New Roman"/>
          <w:b/>
          <w:sz w:val="24"/>
        </w:rPr>
        <w:t>INSIDE BOX:</w:t>
      </w:r>
    </w:p>
    <w:p w:rsidR="00464A29" w:rsidRDefault="00464A29" w:rsidP="00E53DE3">
      <w:pPr>
        <w:pStyle w:val="ListParagraph"/>
        <w:numPr>
          <w:ilvl w:val="1"/>
          <w:numId w:val="2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Požadavky na projektovou podporu budou nižší.</w:t>
      </w:r>
    </w:p>
    <w:p w:rsidR="00464A29" w:rsidRDefault="00464A29" w:rsidP="00E53DE3">
      <w:pPr>
        <w:pStyle w:val="ListParagraph"/>
        <w:numPr>
          <w:ilvl w:val="1"/>
          <w:numId w:val="2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Projektovou podporu bude zajišťovat dodavatel proprietárního integrovaného řešení APV.</w:t>
      </w:r>
    </w:p>
    <w:p w:rsidR="00464A29" w:rsidRPr="00E53DE3" w:rsidRDefault="00464A29" w:rsidP="00E53DE3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b/>
          <w:sz w:val="24"/>
        </w:rPr>
      </w:pPr>
      <w:r w:rsidRPr="00E53DE3">
        <w:rPr>
          <w:rFonts w:ascii="Times New Roman" w:hAnsi="Times New Roman"/>
          <w:b/>
          <w:sz w:val="24"/>
        </w:rPr>
        <w:t>OUTSIDE BOX</w:t>
      </w:r>
      <w:r>
        <w:rPr>
          <w:rFonts w:ascii="Times New Roman" w:hAnsi="Times New Roman"/>
          <w:b/>
          <w:sz w:val="24"/>
        </w:rPr>
        <w:t>:</w:t>
      </w:r>
      <w:r w:rsidRPr="00E53DE3">
        <w:rPr>
          <w:rFonts w:ascii="Times New Roman" w:hAnsi="Times New Roman"/>
          <w:b/>
          <w:sz w:val="24"/>
        </w:rPr>
        <w:t xml:space="preserve"> </w:t>
      </w:r>
    </w:p>
    <w:p w:rsidR="00464A29" w:rsidRDefault="00464A29" w:rsidP="00E53DE3">
      <w:pPr>
        <w:pStyle w:val="ListParagraph"/>
        <w:numPr>
          <w:ilvl w:val="1"/>
          <w:numId w:val="2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Požadavky na projektovou podporu budou zahrnovat zpracování nezbytných business analýz pro potřebu resortu a pro podporu realizace projektu.</w:t>
      </w:r>
    </w:p>
    <w:p w:rsidR="00464A29" w:rsidRDefault="00464A29" w:rsidP="00E53DE3">
      <w:pPr>
        <w:pStyle w:val="ListParagraph"/>
        <w:numPr>
          <w:ilvl w:val="1"/>
          <w:numId w:val="2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Dodavatelem těchto business analýz bude v tomto případě nezávislý subjekt nebo resort MO.</w:t>
      </w:r>
    </w:p>
    <w:p w:rsidR="00464A29" w:rsidRDefault="00464A29" w:rsidP="00E53DE3">
      <w:pPr>
        <w:pStyle w:val="ListParagraph"/>
        <w:numPr>
          <w:ilvl w:val="1"/>
          <w:numId w:val="2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Zdůvodnění této potřeby business analýz cestou dodavatele je součástí tohoto marketingového průzkumu.</w:t>
      </w:r>
    </w:p>
    <w:p w:rsidR="00464A29" w:rsidRDefault="00464A29" w:rsidP="00E53DE3">
      <w:pPr>
        <w:spacing w:after="120"/>
        <w:ind w:firstLine="349"/>
        <w:jc w:val="both"/>
        <w:rPr>
          <w:rFonts w:ascii="Times New Roman" w:hAnsi="Times New Roman"/>
          <w:sz w:val="24"/>
        </w:rPr>
      </w:pPr>
      <w:r w:rsidRPr="00926E63">
        <w:rPr>
          <w:rFonts w:ascii="Times New Roman" w:hAnsi="Times New Roman"/>
          <w:sz w:val="24"/>
        </w:rPr>
        <w:t xml:space="preserve">Projektová podpora bude zahrnovat funkci projektové kanceláře </w:t>
      </w:r>
      <w:r>
        <w:rPr>
          <w:rFonts w:ascii="Times New Roman" w:hAnsi="Times New Roman"/>
          <w:sz w:val="24"/>
        </w:rPr>
        <w:t xml:space="preserve">(s funkcí systémového integrátora pro strategii BLACK BOX), </w:t>
      </w:r>
      <w:r w:rsidRPr="00926E63">
        <w:rPr>
          <w:rFonts w:ascii="Times New Roman" w:hAnsi="Times New Roman"/>
          <w:sz w:val="24"/>
        </w:rPr>
        <w:t xml:space="preserve">funkci analytika a architekta. Podrobné požadavky jsou uvedeny v příloze </w:t>
      </w:r>
      <w:r>
        <w:rPr>
          <w:rFonts w:ascii="Times New Roman" w:hAnsi="Times New Roman"/>
          <w:sz w:val="24"/>
        </w:rPr>
        <w:t>2</w:t>
      </w:r>
      <w:r w:rsidRPr="00926E63">
        <w:rPr>
          <w:rFonts w:ascii="Times New Roman" w:hAnsi="Times New Roman"/>
          <w:sz w:val="24"/>
        </w:rPr>
        <w:t xml:space="preserve">. </w:t>
      </w:r>
    </w:p>
    <w:p w:rsidR="00464A29" w:rsidRPr="003E73B5" w:rsidRDefault="00464A29" w:rsidP="00926E63">
      <w:pPr>
        <w:spacing w:after="0"/>
        <w:ind w:firstLine="349"/>
        <w:jc w:val="both"/>
        <w:rPr>
          <w:rFonts w:ascii="Times New Roman" w:hAnsi="Times New Roman"/>
          <w:sz w:val="24"/>
        </w:rPr>
      </w:pPr>
      <w:r w:rsidRPr="003E73B5">
        <w:rPr>
          <w:rFonts w:ascii="Times New Roman" w:hAnsi="Times New Roman"/>
          <w:sz w:val="24"/>
        </w:rPr>
        <w:t>Hlavním úkolem projektové podpory bude vytvoření projektové kanceláře. Do této projektové kanceláře budou již od počátku zařazeni i příslušníci resortu</w:t>
      </w:r>
      <w:r>
        <w:rPr>
          <w:rFonts w:ascii="Times New Roman" w:hAnsi="Times New Roman"/>
          <w:sz w:val="24"/>
        </w:rPr>
        <w:t xml:space="preserve"> a jejich podíl </w:t>
      </w:r>
      <w:r w:rsidRPr="003E73B5">
        <w:rPr>
          <w:rFonts w:ascii="Times New Roman" w:hAnsi="Times New Roman"/>
          <w:sz w:val="24"/>
        </w:rPr>
        <w:t xml:space="preserve">v projektové kanceláři </w:t>
      </w:r>
      <w:r>
        <w:rPr>
          <w:rFonts w:ascii="Times New Roman" w:hAnsi="Times New Roman"/>
          <w:sz w:val="24"/>
        </w:rPr>
        <w:t xml:space="preserve">a na realizaci business analýzy a architektur bude </w:t>
      </w:r>
      <w:r w:rsidRPr="003E73B5">
        <w:rPr>
          <w:rFonts w:ascii="Times New Roman" w:hAnsi="Times New Roman"/>
          <w:sz w:val="24"/>
        </w:rPr>
        <w:t xml:space="preserve">postupně narůstat. Doba na dokončení výstavby </w:t>
      </w:r>
      <w:r>
        <w:rPr>
          <w:rFonts w:ascii="Times New Roman" w:hAnsi="Times New Roman"/>
          <w:sz w:val="24"/>
        </w:rPr>
        <w:t xml:space="preserve">a integrace APV </w:t>
      </w:r>
      <w:r w:rsidRPr="003E73B5">
        <w:rPr>
          <w:rFonts w:ascii="Times New Roman" w:hAnsi="Times New Roman"/>
          <w:sz w:val="24"/>
        </w:rPr>
        <w:t>bude záležet na zvolené strategii integrace</w:t>
      </w:r>
      <w:r>
        <w:rPr>
          <w:rFonts w:ascii="Times New Roman" w:hAnsi="Times New Roman"/>
          <w:sz w:val="24"/>
        </w:rPr>
        <w:t xml:space="preserve"> (viz příloha 1). </w:t>
      </w:r>
      <w:r w:rsidRPr="003E73B5">
        <w:rPr>
          <w:rFonts w:ascii="Times New Roman" w:hAnsi="Times New Roman"/>
          <w:sz w:val="24"/>
        </w:rPr>
        <w:t>Po ukončení integrace bude resortní projektová kancelář APV řídit další rozvoj integrovaného APV resortu</w:t>
      </w:r>
      <w:r>
        <w:rPr>
          <w:rFonts w:ascii="Times New Roman" w:hAnsi="Times New Roman"/>
          <w:sz w:val="24"/>
        </w:rPr>
        <w:t xml:space="preserve"> vlastními silami</w:t>
      </w:r>
      <w:r w:rsidRPr="003E73B5">
        <w:rPr>
          <w:rFonts w:ascii="Times New Roman" w:hAnsi="Times New Roman"/>
          <w:sz w:val="24"/>
        </w:rPr>
        <w:t>.</w:t>
      </w:r>
    </w:p>
    <w:p w:rsidR="00464A29" w:rsidRDefault="00464A29" w:rsidP="00483A09">
      <w:pPr>
        <w:spacing w:after="0"/>
        <w:ind w:firstLine="709"/>
        <w:rPr>
          <w:rFonts w:ascii="Times New Roman" w:hAnsi="Times New Roman"/>
          <w:sz w:val="24"/>
        </w:rPr>
      </w:pPr>
    </w:p>
    <w:p w:rsidR="00464A29" w:rsidRPr="00926E63" w:rsidRDefault="00464A29" w:rsidP="00926E63">
      <w:pPr>
        <w:pStyle w:val="U3"/>
        <w:ind w:left="426" w:hanging="426"/>
      </w:pPr>
      <w:r w:rsidRPr="00926E63">
        <w:t>Požadavky na potenciální poskytovatele projektové podpory</w:t>
      </w:r>
    </w:p>
    <w:p w:rsidR="00464A29" w:rsidRDefault="00464A29" w:rsidP="00926E63">
      <w:pPr>
        <w:spacing w:after="0"/>
        <w:ind w:firstLine="349"/>
        <w:jc w:val="both"/>
        <w:rPr>
          <w:rFonts w:ascii="Times New Roman" w:hAnsi="Times New Roman"/>
          <w:sz w:val="24"/>
        </w:rPr>
      </w:pPr>
    </w:p>
    <w:p w:rsidR="00464A29" w:rsidRPr="003E73B5" w:rsidRDefault="00464A29" w:rsidP="00926E63">
      <w:pPr>
        <w:spacing w:after="0"/>
        <w:ind w:firstLine="349"/>
        <w:jc w:val="both"/>
        <w:rPr>
          <w:rFonts w:ascii="Times New Roman" w:hAnsi="Times New Roman"/>
          <w:sz w:val="24"/>
        </w:rPr>
      </w:pPr>
      <w:r w:rsidRPr="003E73B5">
        <w:rPr>
          <w:rFonts w:ascii="Times New Roman" w:hAnsi="Times New Roman"/>
          <w:sz w:val="24"/>
        </w:rPr>
        <w:t>Pro strategi</w:t>
      </w:r>
      <w:r>
        <w:rPr>
          <w:rFonts w:ascii="Times New Roman" w:hAnsi="Times New Roman"/>
          <w:sz w:val="24"/>
        </w:rPr>
        <w:t>i</w:t>
      </w:r>
      <w:r w:rsidRPr="003E73B5">
        <w:rPr>
          <w:rFonts w:ascii="Times New Roman" w:hAnsi="Times New Roman"/>
          <w:sz w:val="24"/>
        </w:rPr>
        <w:t xml:space="preserve"> INSIDE BOX bude projektovou podporu poskytovat dodavatel integrovaného APV a požadavky na něj jsou uvedeny v</w:t>
      </w:r>
      <w:r>
        <w:rPr>
          <w:rFonts w:ascii="Times New Roman" w:hAnsi="Times New Roman"/>
          <w:sz w:val="24"/>
        </w:rPr>
        <w:t> příslušném marketingovém průzkumu</w:t>
      </w:r>
      <w:r w:rsidRPr="003E73B5">
        <w:rPr>
          <w:rFonts w:ascii="Times New Roman" w:hAnsi="Times New Roman"/>
          <w:sz w:val="24"/>
        </w:rPr>
        <w:t>.</w:t>
      </w:r>
    </w:p>
    <w:p w:rsidR="00464A29" w:rsidRDefault="00464A29" w:rsidP="00926E63">
      <w:pPr>
        <w:spacing w:after="120"/>
        <w:ind w:firstLine="349"/>
        <w:jc w:val="both"/>
        <w:rPr>
          <w:rFonts w:ascii="Times New Roman" w:hAnsi="Times New Roman"/>
          <w:sz w:val="24"/>
        </w:rPr>
      </w:pPr>
      <w:r w:rsidRPr="003E73B5">
        <w:rPr>
          <w:rFonts w:ascii="Times New Roman" w:hAnsi="Times New Roman"/>
          <w:sz w:val="24"/>
        </w:rPr>
        <w:t xml:space="preserve">Okruh možných poskytovatelů projektové podpory pro strategii BLACK BOX by měl zahrnovat společnosti zabývající </w:t>
      </w:r>
      <w:r>
        <w:rPr>
          <w:rFonts w:ascii="Times New Roman" w:hAnsi="Times New Roman"/>
          <w:sz w:val="24"/>
        </w:rPr>
        <w:t xml:space="preserve">se </w:t>
      </w:r>
      <w:r w:rsidRPr="003E73B5">
        <w:rPr>
          <w:rFonts w:ascii="Times New Roman" w:hAnsi="Times New Roman"/>
          <w:sz w:val="24"/>
        </w:rPr>
        <w:t xml:space="preserve">systémovou integraci, dodávkou integračních platforem a integrovaných SW řešení na bázi SOA. Tato společnost musí být úspěšným dodavatelem minimálně jednoho APV, které je plně řešeno jako SOA a je implementováno v IS většího podniku nebo státní instituce (alespoň </w:t>
      </w:r>
      <w:r>
        <w:rPr>
          <w:rFonts w:ascii="Times New Roman" w:hAnsi="Times New Roman"/>
          <w:sz w:val="24"/>
        </w:rPr>
        <w:t>2</w:t>
      </w:r>
      <w:r w:rsidRPr="003E73B5">
        <w:rPr>
          <w:rFonts w:ascii="Times New Roman" w:hAnsi="Times New Roman"/>
          <w:sz w:val="24"/>
        </w:rPr>
        <w:t xml:space="preserve"> 000 uživatelů). Společnost, která je pouze dodavatelem </w:t>
      </w:r>
      <w:r>
        <w:rPr>
          <w:rFonts w:ascii="Times New Roman" w:hAnsi="Times New Roman"/>
          <w:sz w:val="24"/>
        </w:rPr>
        <w:t xml:space="preserve">tzv. </w:t>
      </w:r>
      <w:r>
        <w:rPr>
          <w:rFonts w:ascii="Times New Roman" w:hAnsi="Times New Roman"/>
          <w:sz w:val="24"/>
          <w:lang w:val="en-US"/>
        </w:rPr>
        <w:t>“</w:t>
      </w:r>
      <w:r w:rsidRPr="003E73B5">
        <w:rPr>
          <w:rFonts w:ascii="Times New Roman" w:hAnsi="Times New Roman"/>
          <w:sz w:val="24"/>
        </w:rPr>
        <w:t>SOA ready</w:t>
      </w:r>
      <w:r>
        <w:rPr>
          <w:rFonts w:ascii="Times New Roman" w:hAnsi="Times New Roman"/>
          <w:sz w:val="24"/>
        </w:rPr>
        <w:t>“</w:t>
      </w:r>
      <w:r>
        <w:rPr>
          <w:rStyle w:val="FootnoteReference"/>
          <w:rFonts w:ascii="Times New Roman" w:hAnsi="Times New Roman"/>
          <w:sz w:val="24"/>
        </w:rPr>
        <w:footnoteReference w:id="1"/>
      </w:r>
      <w:r w:rsidRPr="003E73B5">
        <w:rPr>
          <w:rFonts w:ascii="Times New Roman" w:hAnsi="Times New Roman"/>
          <w:sz w:val="24"/>
        </w:rPr>
        <w:t xml:space="preserve"> aplikací tento požadavek nesplňuje</w:t>
      </w:r>
      <w:r>
        <w:rPr>
          <w:rFonts w:ascii="Times New Roman" w:hAnsi="Times New Roman"/>
          <w:sz w:val="24"/>
        </w:rPr>
        <w:t>. Vzhledem k domu, že poskytovatel projektové podpory a systémové integrace je v tomto případě současně dodavatelem nového integrovaného APV, je dalším požadavkem jeho souhlas s licenčními požadavky resortu MO, jak jsou uvedeny v příloze 3.</w:t>
      </w:r>
      <w:r w:rsidRPr="003E73B5">
        <w:rPr>
          <w:rFonts w:ascii="Times New Roman" w:hAnsi="Times New Roman"/>
          <w:sz w:val="24"/>
        </w:rPr>
        <w:t xml:space="preserve"> </w:t>
      </w:r>
    </w:p>
    <w:p w:rsidR="00464A29" w:rsidRDefault="00464A29" w:rsidP="00926E63">
      <w:pPr>
        <w:spacing w:after="120"/>
        <w:ind w:firstLine="349"/>
        <w:jc w:val="both"/>
        <w:rPr>
          <w:rFonts w:ascii="Times New Roman" w:hAnsi="Times New Roman"/>
          <w:sz w:val="24"/>
        </w:rPr>
      </w:pPr>
      <w:r w:rsidRPr="00D83EA6">
        <w:rPr>
          <w:rFonts w:ascii="Times New Roman" w:hAnsi="Times New Roman"/>
          <w:sz w:val="24"/>
        </w:rPr>
        <w:t>Preferujeme zkušenou společnost, která</w:t>
      </w:r>
      <w:r>
        <w:rPr>
          <w:rFonts w:ascii="Times New Roman" w:hAnsi="Times New Roman"/>
          <w:sz w:val="24"/>
        </w:rPr>
        <w:t xml:space="preserve"> má zkušenosti s právním prostředím v ČR</w:t>
      </w:r>
      <w:r w:rsidRPr="00D83EA6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státní správou a resortem obrany.</w:t>
      </w:r>
    </w:p>
    <w:p w:rsidR="00464A29" w:rsidRDefault="00464A29" w:rsidP="00FF1495">
      <w:pPr>
        <w:spacing w:after="0"/>
        <w:ind w:firstLine="34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Poskytovatel projektové podpory p</w:t>
      </w:r>
      <w:r w:rsidRPr="003E73B5">
        <w:rPr>
          <w:rFonts w:ascii="Times New Roman" w:hAnsi="Times New Roman"/>
          <w:sz w:val="24"/>
        </w:rPr>
        <w:t xml:space="preserve">ro strategie </w:t>
      </w:r>
      <w:r>
        <w:rPr>
          <w:rFonts w:ascii="Times New Roman" w:hAnsi="Times New Roman"/>
          <w:sz w:val="24"/>
        </w:rPr>
        <w:t>OUTSIDE</w:t>
      </w:r>
      <w:r w:rsidRPr="003E73B5">
        <w:rPr>
          <w:rFonts w:ascii="Times New Roman" w:hAnsi="Times New Roman"/>
          <w:sz w:val="24"/>
        </w:rPr>
        <w:t xml:space="preserve"> BOX </w:t>
      </w:r>
      <w:r>
        <w:rPr>
          <w:rFonts w:ascii="Times New Roman" w:hAnsi="Times New Roman"/>
          <w:sz w:val="24"/>
        </w:rPr>
        <w:t xml:space="preserve">musí být především certifikovaným poskytovatelem business analýzy podle BABOK 2.0. </w:t>
      </w:r>
    </w:p>
    <w:p w:rsidR="00464A29" w:rsidRDefault="00464A29" w:rsidP="00926E63">
      <w:pPr>
        <w:spacing w:after="120"/>
        <w:ind w:firstLine="349"/>
        <w:jc w:val="both"/>
        <w:rPr>
          <w:rFonts w:ascii="Times New Roman" w:hAnsi="Times New Roman"/>
          <w:sz w:val="24"/>
        </w:rPr>
      </w:pPr>
    </w:p>
    <w:p w:rsidR="00464A29" w:rsidRDefault="00464A29" w:rsidP="00926E63">
      <w:pPr>
        <w:pStyle w:val="U3"/>
        <w:ind w:left="426" w:hanging="426"/>
      </w:pPr>
      <w:r w:rsidRPr="00926E63">
        <w:t>Otázky na potenciální poskytovatele projektové podpory</w:t>
      </w:r>
    </w:p>
    <w:p w:rsidR="00464A29" w:rsidRDefault="00464A29" w:rsidP="00674128">
      <w:pPr>
        <w:spacing w:after="0"/>
        <w:jc w:val="both"/>
        <w:rPr>
          <w:rFonts w:ascii="Times New Roman" w:hAnsi="Times New Roman"/>
          <w:i/>
          <w:sz w:val="24"/>
        </w:rPr>
      </w:pPr>
    </w:p>
    <w:p w:rsidR="00464A29" w:rsidRPr="000324FE" w:rsidRDefault="00464A29" w:rsidP="00674128">
      <w:pPr>
        <w:jc w:val="both"/>
        <w:rPr>
          <w:rFonts w:ascii="Times New Roman" w:hAnsi="Times New Roman"/>
          <w:i/>
          <w:sz w:val="24"/>
        </w:rPr>
      </w:pPr>
      <w:r w:rsidRPr="000324FE">
        <w:rPr>
          <w:rFonts w:ascii="Times New Roman" w:hAnsi="Times New Roman"/>
          <w:i/>
          <w:sz w:val="24"/>
        </w:rPr>
        <w:t>Odpověď n</w:t>
      </w:r>
      <w:r>
        <w:rPr>
          <w:rFonts w:ascii="Times New Roman" w:hAnsi="Times New Roman"/>
          <w:i/>
          <w:sz w:val="24"/>
        </w:rPr>
        <w:t>a</w:t>
      </w:r>
      <w:r w:rsidRPr="000324FE">
        <w:rPr>
          <w:rFonts w:ascii="Times New Roman" w:hAnsi="Times New Roman"/>
          <w:i/>
          <w:sz w:val="24"/>
        </w:rPr>
        <w:t xml:space="preserve"> uvedené otázky nebude </w:t>
      </w:r>
      <w:r>
        <w:rPr>
          <w:rFonts w:ascii="Times New Roman" w:hAnsi="Times New Roman"/>
          <w:i/>
          <w:sz w:val="24"/>
        </w:rPr>
        <w:t>jednoduchá</w:t>
      </w:r>
      <w:r w:rsidRPr="000324FE">
        <w:rPr>
          <w:rFonts w:ascii="Times New Roman" w:hAnsi="Times New Roman"/>
          <w:i/>
          <w:sz w:val="24"/>
        </w:rPr>
        <w:t xml:space="preserve"> a respondent na jejich </w:t>
      </w:r>
      <w:r>
        <w:rPr>
          <w:rFonts w:ascii="Times New Roman" w:hAnsi="Times New Roman"/>
          <w:i/>
          <w:sz w:val="24"/>
        </w:rPr>
        <w:t>z</w:t>
      </w:r>
      <w:r w:rsidRPr="000324FE">
        <w:rPr>
          <w:rFonts w:ascii="Times New Roman" w:hAnsi="Times New Roman"/>
          <w:i/>
          <w:sz w:val="24"/>
        </w:rPr>
        <w:t xml:space="preserve">odpovězení bude muset vynaložit určité úsilí. Nepožadujeme po respondentech nutně odpovědět na všechny otázky. </w:t>
      </w:r>
      <w:r>
        <w:rPr>
          <w:rFonts w:ascii="Times New Roman" w:hAnsi="Times New Roman"/>
          <w:i/>
          <w:sz w:val="24"/>
        </w:rPr>
        <w:t>Oceníme</w:t>
      </w:r>
      <w:r w:rsidRPr="000324FE">
        <w:rPr>
          <w:rFonts w:ascii="Times New Roman" w:hAnsi="Times New Roman"/>
          <w:i/>
          <w:sz w:val="24"/>
        </w:rPr>
        <w:t xml:space="preserve"> i odpovědi, které nebudou úplné.</w:t>
      </w:r>
    </w:p>
    <w:p w:rsidR="00464A29" w:rsidRDefault="00464A29" w:rsidP="00926E63">
      <w:pPr>
        <w:pStyle w:val="ListParagraph"/>
        <w:numPr>
          <w:ilvl w:val="0"/>
          <w:numId w:val="4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Jaké máte schopnosti a reference s vedením projektové kanceláře v rozsahu, jak je uveden v příloze 2?</w:t>
      </w:r>
    </w:p>
    <w:p w:rsidR="00464A29" w:rsidRDefault="00464A29" w:rsidP="00926E63">
      <w:pPr>
        <w:pStyle w:val="ListParagraph"/>
        <w:numPr>
          <w:ilvl w:val="0"/>
          <w:numId w:val="4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Jaké máte schopnosti a reference v oblasti business analýzy a zpracování a vedení architektury v rozsahu, jak je uveden v příloze 2?</w:t>
      </w:r>
    </w:p>
    <w:p w:rsidR="00464A29" w:rsidRDefault="00464A29" w:rsidP="00926E63">
      <w:pPr>
        <w:pStyle w:val="ListParagraph"/>
        <w:numPr>
          <w:ilvl w:val="0"/>
          <w:numId w:val="4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Jaké máte kompetence a reference s tvorbou SOA řešení podle bodu b? (pouze pro případ BLACK BOX a INSIDE BOX)?</w:t>
      </w:r>
    </w:p>
    <w:p w:rsidR="00464A29" w:rsidRDefault="00464A29" w:rsidP="00926E63">
      <w:pPr>
        <w:pStyle w:val="ListParagraph"/>
        <w:numPr>
          <w:ilvl w:val="0"/>
          <w:numId w:val="4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Jaké máte technické zkušenosti s integrací APV založené na rozdílném architektonickém modelu? Uveďte konkrétní příklady</w:t>
      </w:r>
      <w:r w:rsidRPr="00F26F6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(pouze pro případ BLACK BOX).</w:t>
      </w:r>
    </w:p>
    <w:p w:rsidR="00464A29" w:rsidRDefault="00464A29" w:rsidP="00926E63">
      <w:pPr>
        <w:pStyle w:val="ListParagraph"/>
        <w:numPr>
          <w:ilvl w:val="0"/>
          <w:numId w:val="4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Jak (podle jakých pravidel) by měla být stanovena cena za projektovou podporu, jak by měla být členěna, na základě jakých parametrů by měla být proplácena?</w:t>
      </w:r>
    </w:p>
    <w:p w:rsidR="00464A29" w:rsidRDefault="00464A29" w:rsidP="00926E63">
      <w:pPr>
        <w:pStyle w:val="ListParagraph"/>
        <w:numPr>
          <w:ilvl w:val="0"/>
          <w:numId w:val="4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kolik přírůstků a na jak dlouhé časové období doporučujete rozložit integraci resortních APV (pouze pro případ BLACK BOX)? Podklady pro hrubou kalkulaci jsou uvedeny v příloze 4.</w:t>
      </w:r>
    </w:p>
    <w:p w:rsidR="00464A29" w:rsidRDefault="00464A29" w:rsidP="00926E63">
      <w:pPr>
        <w:pStyle w:val="ListParagraph"/>
        <w:numPr>
          <w:ilvl w:val="0"/>
          <w:numId w:val="4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Jakou výši nákladů lze očekávat na vlastní (systémovou) integraci APV? Uveďte ve vhodné struktuře (pouze pro případ BLACK BOX). Podklady pro hrubou kalkulaci jsou uvedeny v příloze 4.</w:t>
      </w:r>
    </w:p>
    <w:p w:rsidR="00464A29" w:rsidRDefault="00464A29" w:rsidP="00926E63">
      <w:pPr>
        <w:pStyle w:val="ListParagraph"/>
        <w:numPr>
          <w:ilvl w:val="0"/>
          <w:numId w:val="4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Jaké by měly být roční náklady na projektovou podporu a v jaké struktuře?</w:t>
      </w:r>
    </w:p>
    <w:p w:rsidR="00464A29" w:rsidRDefault="00464A29" w:rsidP="00926E63">
      <w:pPr>
        <w:pStyle w:val="ListParagraph"/>
        <w:numPr>
          <w:ilvl w:val="0"/>
          <w:numId w:val="4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Jak by měl být zajištěn budoucí servis a podpora provozu integrovaného APV z pohledu systémové integrátora (pouze pro případ BLACK BOX)?</w:t>
      </w:r>
    </w:p>
    <w:p w:rsidR="00464A29" w:rsidRDefault="00464A29" w:rsidP="00926E63">
      <w:pPr>
        <w:pStyle w:val="ListParagraph"/>
        <w:numPr>
          <w:ilvl w:val="0"/>
          <w:numId w:val="4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Jak navrhujete zredukovat požadavek na rozsah projektové podpory, uvedený v příloze 2, v případě strategie INSIDE BOX?</w:t>
      </w:r>
    </w:p>
    <w:p w:rsidR="00464A29" w:rsidRDefault="00464A29" w:rsidP="00926E63">
      <w:pPr>
        <w:pStyle w:val="ListParagraph"/>
        <w:numPr>
          <w:ilvl w:val="0"/>
          <w:numId w:val="4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Považujete požadavek na projektovou podporu (business analýzy) za oprávněný? Pokud ano, v jakém rozsahu?</w:t>
      </w:r>
    </w:p>
    <w:p w:rsidR="00464A29" w:rsidRDefault="00464A29" w:rsidP="00926E63">
      <w:pPr>
        <w:pStyle w:val="ListParagraph"/>
        <w:ind w:left="1134" w:hanging="1134"/>
        <w:jc w:val="both"/>
        <w:rPr>
          <w:rFonts w:ascii="Times New Roman" w:hAnsi="Times New Roman"/>
          <w:sz w:val="24"/>
        </w:rPr>
      </w:pPr>
    </w:p>
    <w:p w:rsidR="00464A29" w:rsidRDefault="00464A29" w:rsidP="00926E63">
      <w:pPr>
        <w:pStyle w:val="ListParagraph"/>
        <w:ind w:left="1134" w:hanging="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Poznámka: Zpracovatel odpovědí, který má ambici být potenciálním zpracovatelem Studie proveditelnosti a také poskytovatelem projektové podpory pro strategii BLACK BOX, případně OUTSIDE BOX, zpracuje také odpovědi na marketingový průzkum k studii proveditelnosti.</w:t>
      </w:r>
    </w:p>
    <w:p w:rsidR="00464A29" w:rsidRPr="00777F6C" w:rsidRDefault="00464A29" w:rsidP="00777F6C">
      <w:pPr>
        <w:rPr>
          <w:rFonts w:ascii="Times New Roman" w:hAnsi="Times New Roman"/>
          <w:b/>
          <w:sz w:val="24"/>
          <w:szCs w:val="24"/>
        </w:rPr>
      </w:pPr>
      <w:r>
        <w:br w:type="page"/>
      </w:r>
      <w:r w:rsidRPr="00777F6C">
        <w:rPr>
          <w:rFonts w:ascii="Times New Roman" w:hAnsi="Times New Roman"/>
          <w:b/>
          <w:sz w:val="24"/>
          <w:szCs w:val="24"/>
        </w:rPr>
        <w:tab/>
      </w:r>
      <w:r w:rsidRPr="00777F6C">
        <w:rPr>
          <w:rFonts w:ascii="Times New Roman" w:hAnsi="Times New Roman"/>
          <w:b/>
          <w:sz w:val="24"/>
          <w:szCs w:val="24"/>
        </w:rPr>
        <w:tab/>
      </w:r>
      <w:r w:rsidRPr="00777F6C">
        <w:rPr>
          <w:rFonts w:ascii="Times New Roman" w:hAnsi="Times New Roman"/>
          <w:b/>
          <w:sz w:val="24"/>
          <w:szCs w:val="24"/>
        </w:rPr>
        <w:tab/>
      </w:r>
      <w:r w:rsidRPr="00777F6C">
        <w:rPr>
          <w:rFonts w:ascii="Times New Roman" w:hAnsi="Times New Roman"/>
          <w:b/>
          <w:sz w:val="24"/>
          <w:szCs w:val="24"/>
        </w:rPr>
        <w:tab/>
      </w:r>
      <w:r w:rsidRPr="00777F6C">
        <w:rPr>
          <w:rFonts w:ascii="Times New Roman" w:hAnsi="Times New Roman"/>
          <w:b/>
          <w:sz w:val="24"/>
          <w:szCs w:val="24"/>
        </w:rPr>
        <w:tab/>
      </w:r>
      <w:r w:rsidRPr="00777F6C">
        <w:rPr>
          <w:rFonts w:ascii="Times New Roman" w:hAnsi="Times New Roman"/>
          <w:b/>
          <w:sz w:val="24"/>
          <w:szCs w:val="24"/>
        </w:rPr>
        <w:tab/>
      </w:r>
      <w:r w:rsidRPr="00777F6C">
        <w:rPr>
          <w:rFonts w:ascii="Times New Roman" w:hAnsi="Times New Roman"/>
          <w:b/>
          <w:sz w:val="24"/>
          <w:szCs w:val="24"/>
        </w:rPr>
        <w:tab/>
      </w:r>
      <w:r w:rsidRPr="00777F6C">
        <w:rPr>
          <w:rFonts w:ascii="Times New Roman" w:hAnsi="Times New Roman"/>
          <w:b/>
          <w:sz w:val="24"/>
          <w:szCs w:val="24"/>
        </w:rPr>
        <w:tab/>
      </w:r>
      <w:r w:rsidRPr="00777F6C">
        <w:rPr>
          <w:rFonts w:ascii="Times New Roman" w:hAnsi="Times New Roman"/>
          <w:b/>
          <w:sz w:val="24"/>
          <w:szCs w:val="24"/>
        </w:rPr>
        <w:tab/>
      </w:r>
      <w:r w:rsidRPr="00777F6C">
        <w:rPr>
          <w:rFonts w:ascii="Times New Roman" w:hAnsi="Times New Roman"/>
          <w:b/>
          <w:sz w:val="24"/>
          <w:szCs w:val="24"/>
        </w:rPr>
        <w:tab/>
        <w:t>Příloha 1</w:t>
      </w:r>
    </w:p>
    <w:p w:rsidR="00464A29" w:rsidRDefault="00464A29" w:rsidP="008B0464">
      <w:pPr>
        <w:pStyle w:val="ListParagraph"/>
        <w:spacing w:after="0"/>
        <w:rPr>
          <w:rFonts w:ascii="Times New Roman" w:hAnsi="Times New Roman"/>
          <w:b/>
          <w:sz w:val="24"/>
        </w:rPr>
      </w:pPr>
    </w:p>
    <w:p w:rsidR="00464A29" w:rsidRPr="00CF16DC" w:rsidRDefault="00464A29" w:rsidP="0039277C">
      <w:pPr>
        <w:pStyle w:val="Styl2"/>
        <w:numPr>
          <w:ilvl w:val="0"/>
          <w:numId w:val="0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Popis</w:t>
      </w:r>
      <w:r w:rsidRPr="00CF16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strategií </w:t>
      </w:r>
      <w:r w:rsidRPr="00CF16DC">
        <w:rPr>
          <w:sz w:val="28"/>
          <w:szCs w:val="28"/>
        </w:rPr>
        <w:t>integrace APV</w:t>
      </w:r>
    </w:p>
    <w:p w:rsidR="00464A29" w:rsidRDefault="00464A29" w:rsidP="0039277C">
      <w:pPr>
        <w:pStyle w:val="BodyText"/>
        <w:spacing w:after="0"/>
        <w:jc w:val="both"/>
        <w:rPr>
          <w:b/>
        </w:rPr>
      </w:pPr>
    </w:p>
    <w:p w:rsidR="00464A29" w:rsidRPr="00FF3002" w:rsidRDefault="00464A29" w:rsidP="0039277C">
      <w:pPr>
        <w:pStyle w:val="BodyText"/>
        <w:numPr>
          <w:ilvl w:val="0"/>
          <w:numId w:val="31"/>
        </w:numPr>
        <w:spacing w:after="0"/>
        <w:jc w:val="both"/>
        <w:rPr>
          <w:b/>
        </w:rPr>
      </w:pPr>
      <w:bookmarkStart w:id="0" w:name="_Toc364942757"/>
      <w:bookmarkStart w:id="1" w:name="_Toc365026748"/>
      <w:r w:rsidRPr="00FF3002">
        <w:rPr>
          <w:b/>
        </w:rPr>
        <w:t xml:space="preserve">BLACK BOX - získání </w:t>
      </w:r>
      <w:r>
        <w:rPr>
          <w:b/>
        </w:rPr>
        <w:t>úplných</w:t>
      </w:r>
      <w:r w:rsidRPr="00FF3002">
        <w:rPr>
          <w:b/>
        </w:rPr>
        <w:t xml:space="preserve"> popisů rozhraní modulů stávajících APV a </w:t>
      </w:r>
      <w:r>
        <w:rPr>
          <w:b/>
        </w:rPr>
        <w:t>jejich vzájemné</w:t>
      </w:r>
      <w:r w:rsidRPr="00FF3002">
        <w:rPr>
          <w:b/>
        </w:rPr>
        <w:t xml:space="preserve"> </w:t>
      </w:r>
      <w:r>
        <w:rPr>
          <w:b/>
        </w:rPr>
        <w:t>propojenosti</w:t>
      </w:r>
      <w:r w:rsidRPr="00FF3002">
        <w:rPr>
          <w:b/>
        </w:rPr>
        <w:t xml:space="preserve"> s možností </w:t>
      </w:r>
      <w:r>
        <w:rPr>
          <w:b/>
        </w:rPr>
        <w:t xml:space="preserve">jejich </w:t>
      </w:r>
      <w:r w:rsidRPr="00FF3002">
        <w:rPr>
          <w:b/>
        </w:rPr>
        <w:t xml:space="preserve">dalšího rozvoje </w:t>
      </w:r>
      <w:bookmarkEnd w:id="0"/>
      <w:bookmarkEnd w:id="1"/>
      <w:r>
        <w:rPr>
          <w:b/>
        </w:rPr>
        <w:t>formou otevřené soutěže</w:t>
      </w:r>
    </w:p>
    <w:p w:rsidR="00464A29" w:rsidRDefault="00464A29" w:rsidP="0039277C">
      <w:pPr>
        <w:pStyle w:val="Odstavecseseznamem2"/>
        <w:spacing w:before="120"/>
        <w:ind w:left="0" w:firstLine="709"/>
      </w:pPr>
      <w:r w:rsidRPr="00362C1F">
        <w:t xml:space="preserve">Tato strategie zachovává stávající APV. Poskytuje možnost dosáhnout cílového (integrovaného) stavu postupnými kroky, v závislosti na požadavcích hlavních uživatelů </w:t>
      </w:r>
      <w:r>
        <w:br/>
      </w:r>
      <w:r w:rsidRPr="00362C1F">
        <w:t xml:space="preserve">a možnostech resortu. Bude však nutno </w:t>
      </w:r>
      <w:r>
        <w:t xml:space="preserve">vyškolit vlastní odborníky a </w:t>
      </w:r>
      <w:r w:rsidRPr="00362C1F">
        <w:t xml:space="preserve">využít služeb </w:t>
      </w:r>
      <w:r>
        <w:t xml:space="preserve">Projektové kanceláře - </w:t>
      </w:r>
      <w:r w:rsidRPr="00362C1F">
        <w:t>systémového integrátora</w:t>
      </w:r>
      <w:r>
        <w:t xml:space="preserve"> pro odborné řízení dodavatelů při integraci a rozvoji APV. Projektová kancelář - systémový integrátor zvolí vhodnou </w:t>
      </w:r>
      <w:r w:rsidRPr="00362C1F">
        <w:t xml:space="preserve">integrační platformu umožňující </w:t>
      </w:r>
      <w:r>
        <w:t xml:space="preserve">efektivní integraci APV s maximálním </w:t>
      </w:r>
      <w:r w:rsidRPr="00362C1F">
        <w:t>využití</w:t>
      </w:r>
      <w:r>
        <w:t>m</w:t>
      </w:r>
      <w:r w:rsidRPr="00362C1F">
        <w:t xml:space="preserve"> společných služeb</w:t>
      </w:r>
      <w:r>
        <w:t>.</w:t>
      </w:r>
    </w:p>
    <w:p w:rsidR="00464A29" w:rsidRDefault="00464A29" w:rsidP="0039277C">
      <w:pPr>
        <w:pStyle w:val="Odstavecseseznamem2"/>
        <w:spacing w:before="120"/>
        <w:ind w:left="0"/>
      </w:pPr>
      <w:r w:rsidRPr="003E5A05">
        <w:rPr>
          <w:noProof/>
          <w:lang w:eastAsia="cs-CZ"/>
        </w:rPr>
        <w:pict>
          <v:shape id="obrázek 6" o:spid="_x0000_i1026" type="#_x0000_t75" alt="Proc3" style="width:303.75pt;height:143.25pt;visibility:visible">
            <v:imagedata r:id="rId8" o:title=""/>
          </v:shape>
        </w:pict>
      </w:r>
    </w:p>
    <w:p w:rsidR="00464A29" w:rsidRDefault="00464A29" w:rsidP="0039277C">
      <w:pPr>
        <w:pStyle w:val="Odstavecseseznamem2"/>
        <w:spacing w:before="120" w:after="120"/>
        <w:ind w:left="0"/>
      </w:pPr>
      <w:r>
        <w:t>Obr. 1</w:t>
      </w:r>
      <w:r w:rsidRPr="00362C1F">
        <w:t xml:space="preserve">. Strategie </w:t>
      </w:r>
      <w:r>
        <w:t>BLACK</w:t>
      </w:r>
      <w:r w:rsidRPr="00362C1F">
        <w:t xml:space="preserve"> BOX</w:t>
      </w:r>
    </w:p>
    <w:p w:rsidR="00464A29" w:rsidRDefault="00464A29" w:rsidP="0039277C">
      <w:pPr>
        <w:pStyle w:val="Odstavecseseznamem2"/>
        <w:spacing w:after="240"/>
        <w:ind w:left="0" w:firstLine="708"/>
      </w:pPr>
      <w:r w:rsidRPr="00362C1F">
        <w:t xml:space="preserve">V tomto případě resort MO získá vlastnictví spustitelného kódu APV bez licenčních omezení, </w:t>
      </w:r>
      <w:r w:rsidRPr="00320E2A">
        <w:t>popis jeho modulů, jejich vzájemné propojenosti a znalost datového modelu</w:t>
      </w:r>
      <w:r w:rsidRPr="00362C1F">
        <w:t>.</w:t>
      </w:r>
      <w:r>
        <w:t xml:space="preserve"> Dále musí získat vlastnictví veškerých analýz, architektury, rozhraní, datového modelu a </w:t>
      </w:r>
      <w:r w:rsidRPr="00362C1F">
        <w:t>spustitelného kódu</w:t>
      </w:r>
      <w:r>
        <w:t>, které představují integrační platformu a které byly vytvořeny pro resort MO formou smlouvy o dílo.</w:t>
      </w:r>
    </w:p>
    <w:p w:rsidR="00464A29" w:rsidRPr="00362C1F" w:rsidRDefault="00464A29" w:rsidP="0039277C">
      <w:pPr>
        <w:pStyle w:val="Odstavecseseznamem2"/>
        <w:ind w:left="0" w:firstLine="708"/>
      </w:pPr>
      <w:r w:rsidRPr="00362C1F">
        <w:t xml:space="preserve">Ty bude možno dále rozšiřovat v rámci otevřené soutěže dodavatelů. </w:t>
      </w:r>
      <w:r>
        <w:t>V případě</w:t>
      </w:r>
      <w:r w:rsidRPr="00362C1F">
        <w:t>, že stávající SW moduly nesplňují mezinárodní standardy tvorby SW</w:t>
      </w:r>
      <w:r w:rsidRPr="00362C1F">
        <w:rPr>
          <w:rStyle w:val="FootnoteReference"/>
        </w:rPr>
        <w:footnoteReference w:id="2"/>
      </w:r>
      <w:r>
        <w:t>,</w:t>
      </w:r>
      <w:r w:rsidRPr="00362C1F">
        <w:t xml:space="preserve"> nebylo </w:t>
      </w:r>
      <w:r>
        <w:t xml:space="preserve">by </w:t>
      </w:r>
      <w:r w:rsidRPr="00362C1F">
        <w:t>možné je relativně snadno rozšířit.</w:t>
      </w:r>
      <w:r>
        <w:t xml:space="preserve"> Toto riziko musí být odhaleno a minimalizováno v rámci Studie proveditelnosti. </w:t>
      </w:r>
      <w:r w:rsidRPr="00362C1F">
        <w:t xml:space="preserve">Toto řešení </w:t>
      </w:r>
      <w:r>
        <w:t xml:space="preserve">umožní </w:t>
      </w:r>
      <w:r w:rsidRPr="00362C1F">
        <w:t xml:space="preserve">získání </w:t>
      </w:r>
      <w:r>
        <w:t xml:space="preserve">téměř </w:t>
      </w:r>
      <w:r w:rsidRPr="00362C1F">
        <w:t xml:space="preserve">úplné nezávislosti na stávajících dodavatelích. </w:t>
      </w:r>
    </w:p>
    <w:p w:rsidR="00464A29" w:rsidRPr="00362C1F" w:rsidRDefault="00464A29" w:rsidP="0039277C">
      <w:pPr>
        <w:pStyle w:val="Odstavecseseznamem2"/>
        <w:ind w:left="0"/>
      </w:pPr>
      <w:r w:rsidRPr="003E5A05">
        <w:rPr>
          <w:noProof/>
          <w:lang w:eastAsia="cs-CZ"/>
        </w:rPr>
        <w:pict>
          <v:shape id="obrázek 9" o:spid="_x0000_i1027" type="#_x0000_t75" style="width:215.25pt;height:112.5pt;visibility:visible">
            <v:imagedata r:id="rId9" o:title="" cropbottom="13570f" cropleft="1704f" cropright="5079f"/>
          </v:shape>
        </w:pict>
      </w:r>
    </w:p>
    <w:p w:rsidR="00464A29" w:rsidRDefault="00464A29" w:rsidP="0039277C">
      <w:pPr>
        <w:pStyle w:val="Odstavecseseznamem2"/>
        <w:spacing w:before="120"/>
        <w:ind w:left="0"/>
      </w:pPr>
      <w:r>
        <w:t>Obr. 2.   Model vlastnictví a znalosti domény APV pro strategii BLACK</w:t>
      </w:r>
      <w:r w:rsidRPr="00362C1F">
        <w:t xml:space="preserve"> BOX</w:t>
      </w:r>
    </w:p>
    <w:p w:rsidR="00464A29" w:rsidRPr="00545A2B" w:rsidRDefault="00464A29" w:rsidP="0039277C">
      <w:pPr>
        <w:pStyle w:val="BodyText"/>
        <w:numPr>
          <w:ilvl w:val="0"/>
          <w:numId w:val="31"/>
        </w:numPr>
        <w:spacing w:after="0"/>
        <w:jc w:val="both"/>
        <w:rPr>
          <w:b/>
        </w:rPr>
      </w:pPr>
      <w:bookmarkStart w:id="2" w:name="_Toc364942756"/>
      <w:bookmarkStart w:id="3" w:name="_Toc365026747"/>
      <w:r w:rsidRPr="00545A2B">
        <w:rPr>
          <w:b/>
        </w:rPr>
        <w:t>INSIDE BOX</w:t>
      </w:r>
      <w:r>
        <w:rPr>
          <w:b/>
        </w:rPr>
        <w:t xml:space="preserve"> - n</w:t>
      </w:r>
      <w:r w:rsidRPr="00545A2B">
        <w:rPr>
          <w:b/>
        </w:rPr>
        <w:t>áhrada existujícího APV za proprietární platformu pro řízení procesů resortu MO plně ve vlastnictví MO</w:t>
      </w:r>
      <w:bookmarkEnd w:id="2"/>
      <w:bookmarkEnd w:id="3"/>
    </w:p>
    <w:p w:rsidR="00464A29" w:rsidRDefault="00464A29" w:rsidP="0039277C">
      <w:pPr>
        <w:pStyle w:val="Odstavecseseznamem2"/>
        <w:spacing w:before="120"/>
        <w:ind w:left="0" w:firstLine="709"/>
      </w:pPr>
      <w:r w:rsidRPr="00362C1F">
        <w:t>Stávající APV budou plně nahrazen</w:t>
      </w:r>
      <w:r>
        <w:t>a</w:t>
      </w:r>
      <w:r w:rsidRPr="00362C1F">
        <w:t xml:space="preserve"> integrovanou proprietární platformou. U této strategie se procesy resortu MO nebudou muset měnit. Pravděpodobně bude nutno </w:t>
      </w:r>
      <w:r>
        <w:t xml:space="preserve">většinu </w:t>
      </w:r>
      <w:r w:rsidRPr="00362C1F">
        <w:t>funk</w:t>
      </w:r>
      <w:r>
        <w:t xml:space="preserve">čnosti </w:t>
      </w:r>
      <w:r w:rsidRPr="00362C1F">
        <w:t xml:space="preserve">znovu </w:t>
      </w:r>
      <w:r>
        <w:t>naprogramovat podle existující funkčnosti</w:t>
      </w:r>
      <w:r w:rsidRPr="00362C1F">
        <w:t xml:space="preserve"> stávajících APV</w:t>
      </w:r>
      <w:r>
        <w:br/>
        <w:t>a případných dalších požadavků H</w:t>
      </w:r>
      <w:r w:rsidRPr="00362C1F">
        <w:t xml:space="preserve">lavních uživatelů. </w:t>
      </w:r>
    </w:p>
    <w:p w:rsidR="00464A29" w:rsidRDefault="00464A29" w:rsidP="0039277C">
      <w:pPr>
        <w:pStyle w:val="Odstavecseseznamem2"/>
        <w:spacing w:before="120"/>
        <w:ind w:left="0"/>
      </w:pPr>
      <w:r w:rsidRPr="003E5A05">
        <w:rPr>
          <w:noProof/>
          <w:lang w:eastAsia="cs-CZ"/>
        </w:rPr>
        <w:pict>
          <v:shape id="obrázek 4" o:spid="_x0000_i1028" type="#_x0000_t75" alt="Proc2" style="width:290.25pt;height:169.5pt;visibility:visible">
            <v:imagedata r:id="rId10" o:title=""/>
          </v:shape>
        </w:pict>
      </w:r>
    </w:p>
    <w:p w:rsidR="00464A29" w:rsidRDefault="00464A29" w:rsidP="0039277C">
      <w:pPr>
        <w:pStyle w:val="Odstavecseseznamem2"/>
        <w:spacing w:before="120"/>
        <w:ind w:left="0"/>
      </w:pPr>
      <w:r>
        <w:t>Obr. 3</w:t>
      </w:r>
      <w:r w:rsidRPr="00362C1F">
        <w:t xml:space="preserve">. Strategie </w:t>
      </w:r>
      <w:r>
        <w:t>INSIDE</w:t>
      </w:r>
      <w:r w:rsidRPr="00362C1F">
        <w:t xml:space="preserve"> BOX</w:t>
      </w:r>
    </w:p>
    <w:p w:rsidR="00464A29" w:rsidRDefault="00464A29" w:rsidP="0039277C">
      <w:pPr>
        <w:pStyle w:val="Odstavecseseznamem2"/>
        <w:spacing w:before="120"/>
        <w:ind w:left="0" w:firstLine="709"/>
      </w:pPr>
    </w:p>
    <w:p w:rsidR="00464A29" w:rsidRPr="00362C1F" w:rsidRDefault="00464A29" w:rsidP="0039277C">
      <w:pPr>
        <w:pStyle w:val="Odstavecseseznamem2"/>
        <w:ind w:left="0" w:firstLine="708"/>
      </w:pPr>
      <w:r w:rsidRPr="00362C1F">
        <w:t xml:space="preserve">Toto řešení představuje silnou závislost na jednom dodavateli, až do doby dokončení prvotního projektu. Podmínkou realizace této strategie bude požadavek na vlastnictví spustitelného </w:t>
      </w:r>
      <w:r>
        <w:t xml:space="preserve">a zdrojového </w:t>
      </w:r>
      <w:r w:rsidRPr="00362C1F">
        <w:t>kódu</w:t>
      </w:r>
      <w:r>
        <w:t>, veškerých analýz a architektury</w:t>
      </w:r>
      <w:r w:rsidRPr="00362C1F">
        <w:t xml:space="preserve"> </w:t>
      </w:r>
      <w:r>
        <w:t xml:space="preserve">integrované platformy a </w:t>
      </w:r>
      <w:r w:rsidRPr="00362C1F">
        <w:t xml:space="preserve">APV bez licenčních omezení, </w:t>
      </w:r>
      <w:r w:rsidRPr="00320E2A">
        <w:t>popis jeho modulů, jejich vzájemné propojenosti a znalost datového modelu</w:t>
      </w:r>
      <w:r w:rsidRPr="00362C1F">
        <w:t>. Po dokončení projektu bude možno změny APV provádět formou otevřené soutěže.</w:t>
      </w:r>
    </w:p>
    <w:p w:rsidR="00464A29" w:rsidRPr="005F0A6F" w:rsidRDefault="00464A29" w:rsidP="0039277C">
      <w:pPr>
        <w:pStyle w:val="Odstavecseseznamem2"/>
        <w:spacing w:before="120"/>
        <w:ind w:left="0" w:firstLine="709"/>
        <w:rPr>
          <w:sz w:val="16"/>
          <w:szCs w:val="16"/>
        </w:rPr>
      </w:pPr>
    </w:p>
    <w:p w:rsidR="00464A29" w:rsidRPr="00362C1F" w:rsidRDefault="00464A29" w:rsidP="0039277C">
      <w:pPr>
        <w:pStyle w:val="Odstavecseseznamem2"/>
        <w:ind w:left="0"/>
        <w:rPr>
          <w:noProof/>
          <w:lang w:eastAsia="cs-CZ"/>
        </w:rPr>
      </w:pPr>
      <w:r>
        <w:rPr>
          <w:noProof/>
          <w:lang w:eastAsia="cs-CZ"/>
        </w:rPr>
        <w:t xml:space="preserve">   </w:t>
      </w:r>
      <w:r w:rsidRPr="003E5A05">
        <w:rPr>
          <w:noProof/>
          <w:lang w:eastAsia="cs-CZ"/>
        </w:rPr>
        <w:pict>
          <v:shape id="obrázek 7" o:spid="_x0000_i1029" type="#_x0000_t75" style="width:258pt;height:150pt;visibility:visible">
            <v:imagedata r:id="rId11" o:title="" cropbottom="12976f" cropleft="1638f" cropright="5139f"/>
          </v:shape>
        </w:pict>
      </w:r>
    </w:p>
    <w:p w:rsidR="00464A29" w:rsidRPr="00362C1F" w:rsidRDefault="00464A29" w:rsidP="0039277C">
      <w:pPr>
        <w:pStyle w:val="Odstavecseseznamem2"/>
        <w:spacing w:before="120"/>
        <w:ind w:left="0"/>
      </w:pPr>
      <w:r>
        <w:t>Obr. 4.   Model vlastnictví a znalosti domény APV pro strategii INSIDE</w:t>
      </w:r>
      <w:r w:rsidRPr="00362C1F">
        <w:t xml:space="preserve"> BOX</w:t>
      </w:r>
    </w:p>
    <w:p w:rsidR="00464A29" w:rsidRDefault="00464A29" w:rsidP="0039277C">
      <w:pPr>
        <w:pStyle w:val="Odstavecseseznamem2"/>
        <w:ind w:left="0"/>
      </w:pPr>
    </w:p>
    <w:p w:rsidR="00464A29" w:rsidRDefault="00464A29" w:rsidP="0039277C">
      <w:pPr>
        <w:pStyle w:val="Odstavecseseznamem2"/>
        <w:ind w:left="0"/>
      </w:pPr>
    </w:p>
    <w:p w:rsidR="00464A29" w:rsidRDefault="00464A29" w:rsidP="0039277C">
      <w:pPr>
        <w:pStyle w:val="Odstavecseseznamem2"/>
        <w:ind w:left="0"/>
      </w:pPr>
    </w:p>
    <w:p w:rsidR="00464A29" w:rsidRDefault="00464A29" w:rsidP="0039277C">
      <w:pPr>
        <w:pStyle w:val="Odstavecseseznamem2"/>
        <w:ind w:left="0"/>
      </w:pPr>
    </w:p>
    <w:p w:rsidR="00464A29" w:rsidRDefault="00464A29" w:rsidP="0039277C">
      <w:pPr>
        <w:pStyle w:val="Odstavecseseznamem2"/>
        <w:ind w:left="0"/>
      </w:pPr>
    </w:p>
    <w:p w:rsidR="00464A29" w:rsidRDefault="00464A29" w:rsidP="0039277C">
      <w:pPr>
        <w:pStyle w:val="Odstavecseseznamem2"/>
        <w:ind w:left="0"/>
      </w:pPr>
    </w:p>
    <w:p w:rsidR="00464A29" w:rsidRDefault="00464A29" w:rsidP="0039277C">
      <w:pPr>
        <w:pStyle w:val="Odstavecseseznamem2"/>
        <w:ind w:left="0"/>
      </w:pPr>
    </w:p>
    <w:p w:rsidR="00464A29" w:rsidRDefault="00464A29" w:rsidP="0039277C">
      <w:pPr>
        <w:pStyle w:val="Odstavecseseznamem2"/>
        <w:ind w:left="0"/>
      </w:pPr>
    </w:p>
    <w:p w:rsidR="00464A29" w:rsidRPr="00545A2B" w:rsidRDefault="00464A29" w:rsidP="0039277C">
      <w:pPr>
        <w:pStyle w:val="BodyText"/>
        <w:numPr>
          <w:ilvl w:val="0"/>
          <w:numId w:val="31"/>
        </w:numPr>
        <w:spacing w:after="0"/>
        <w:jc w:val="both"/>
        <w:rPr>
          <w:b/>
        </w:rPr>
      </w:pPr>
      <w:bookmarkStart w:id="4" w:name="_Toc364942755"/>
      <w:bookmarkStart w:id="5" w:name="_Toc365026746"/>
      <w:r w:rsidRPr="00545A2B">
        <w:rPr>
          <w:b/>
        </w:rPr>
        <w:t>OUTSIDE BOX - náhrada existujícího APV za integrovanou platformu pro řízení organizací</w:t>
      </w:r>
      <w:bookmarkEnd w:id="4"/>
      <w:bookmarkEnd w:id="5"/>
    </w:p>
    <w:p w:rsidR="00464A29" w:rsidRDefault="00464A29" w:rsidP="0039277C">
      <w:pPr>
        <w:pStyle w:val="Odstavecseseznamem2"/>
        <w:spacing w:before="120"/>
        <w:ind w:left="0" w:firstLine="709"/>
      </w:pPr>
      <w:r w:rsidRPr="00362C1F">
        <w:t>St</w:t>
      </w:r>
      <w:r>
        <w:t>ávající APV budou plně nahrazeno</w:t>
      </w:r>
      <w:r w:rsidRPr="00362C1F">
        <w:t xml:space="preserve"> integrovanou průmyslovou platformou. U této strategie bude nutno nezanedbatelné množství funkcionalit APV COTS přizpůsobit v závislosti na požadavcích </w:t>
      </w:r>
      <w:r>
        <w:t>H</w:t>
      </w:r>
      <w:r w:rsidRPr="00362C1F">
        <w:t>lavních uživatelů. Dále lze předpokládat, že bude nutné přizpůsobit procesy uvnitř resortu MO, tak aby korespondovaly se za</w:t>
      </w:r>
      <w:r>
        <w:t>vedenými podnikovými standardy.</w:t>
      </w:r>
    </w:p>
    <w:p w:rsidR="00464A29" w:rsidRDefault="00464A29" w:rsidP="0039277C">
      <w:pPr>
        <w:pStyle w:val="Odstavecseseznamem2"/>
        <w:spacing w:before="120"/>
        <w:ind w:left="0"/>
      </w:pPr>
      <w:r w:rsidRPr="003E5A05">
        <w:rPr>
          <w:noProof/>
          <w:lang w:eastAsia="cs-CZ"/>
        </w:rPr>
        <w:pict>
          <v:shape id="obrázek 2" o:spid="_x0000_i1030" type="#_x0000_t75" alt="Proc1" style="width:340.5pt;height:180pt;visibility:visible">
            <v:imagedata r:id="rId12" o:title=""/>
          </v:shape>
        </w:pict>
      </w:r>
    </w:p>
    <w:p w:rsidR="00464A29" w:rsidRDefault="00464A29" w:rsidP="0039277C">
      <w:pPr>
        <w:pStyle w:val="Odstavecseseznamem2"/>
        <w:spacing w:before="120"/>
        <w:ind w:left="0"/>
      </w:pPr>
      <w:r>
        <w:t>Obr. 5</w:t>
      </w:r>
      <w:r w:rsidRPr="00362C1F">
        <w:t>. Strategie OUTSIDE BOX</w:t>
      </w:r>
    </w:p>
    <w:p w:rsidR="00464A29" w:rsidRDefault="00464A29" w:rsidP="0039277C">
      <w:pPr>
        <w:pStyle w:val="Odstavecseseznamem2"/>
        <w:spacing w:before="120"/>
        <w:ind w:left="0" w:firstLine="709"/>
      </w:pPr>
      <w:r>
        <w:t xml:space="preserve"> </w:t>
      </w:r>
      <w:r w:rsidRPr="00362C1F">
        <w:t xml:space="preserve">Toto řešení </w:t>
      </w:r>
      <w:r>
        <w:t>může znamenat</w:t>
      </w:r>
      <w:r w:rsidRPr="00362C1F">
        <w:t xml:space="preserve"> silnou závislost na jednom dodavateli, což je nahrazení stávajících závislostí novou</w:t>
      </w:r>
      <w:r>
        <w:t>,</w:t>
      </w:r>
      <w:r w:rsidRPr="00362C1F">
        <w:t xml:space="preserve"> </w:t>
      </w:r>
      <w:r>
        <w:t xml:space="preserve">silnější </w:t>
      </w:r>
      <w:r w:rsidRPr="00362C1F">
        <w:t xml:space="preserve">závislostí na jediném dodavateli. Nicméně podmínkou realizace této strategie bude </w:t>
      </w:r>
      <w:r>
        <w:t xml:space="preserve">minimálně </w:t>
      </w:r>
      <w:r w:rsidRPr="00362C1F">
        <w:t xml:space="preserve">požadavek na vlastnictví </w:t>
      </w:r>
      <w:r>
        <w:t xml:space="preserve">veškerých analýz, rozhraní, datového modelu a </w:t>
      </w:r>
      <w:r w:rsidRPr="00362C1F">
        <w:t>spustitelného kódu</w:t>
      </w:r>
      <w:r>
        <w:t xml:space="preserve">, které byly vytvořeny za účelem úprav pro resort MO formou smlouvy o dílo. Takto vytvořené moduly APV </w:t>
      </w:r>
      <w:r w:rsidRPr="00362C1F">
        <w:t xml:space="preserve"> </w:t>
      </w:r>
      <w:r>
        <w:t>nesmějí být</w:t>
      </w:r>
      <w:r w:rsidRPr="00362C1F">
        <w:t xml:space="preserve"> licenčn</w:t>
      </w:r>
      <w:r>
        <w:t>ě</w:t>
      </w:r>
      <w:r w:rsidRPr="00362C1F">
        <w:t xml:space="preserve"> omezen</w:t>
      </w:r>
      <w:r>
        <w:t>y ze strany dodavatele a resort MO musí dostat právo je následně upravovat formou otevřených výběrových řízení</w:t>
      </w:r>
      <w:r w:rsidRPr="00362C1F">
        <w:t>.</w:t>
      </w:r>
    </w:p>
    <w:p w:rsidR="00464A29" w:rsidRPr="00914594" w:rsidRDefault="00464A29" w:rsidP="0039277C">
      <w:pPr>
        <w:pStyle w:val="Odstavecseseznamem2"/>
        <w:spacing w:after="120"/>
        <w:ind w:left="0" w:firstLine="709"/>
        <w:rPr>
          <w:sz w:val="12"/>
          <w:szCs w:val="12"/>
        </w:rPr>
      </w:pPr>
    </w:p>
    <w:p w:rsidR="00464A29" w:rsidRPr="00362C1F" w:rsidRDefault="00464A29" w:rsidP="0039277C">
      <w:pPr>
        <w:pStyle w:val="Odstavecseseznamem2"/>
        <w:ind w:left="0"/>
      </w:pPr>
      <w:r>
        <w:rPr>
          <w:noProof/>
          <w:lang w:eastAsia="cs-CZ"/>
        </w:rPr>
        <w:t xml:space="preserve">  </w:t>
      </w:r>
      <w:r w:rsidRPr="003E5A05">
        <w:rPr>
          <w:noProof/>
          <w:lang w:eastAsia="cs-CZ"/>
        </w:rPr>
        <w:pict>
          <v:shape id="obrázek 5" o:spid="_x0000_i1031" type="#_x0000_t75" style="width:306.75pt;height:180pt;visibility:visible">
            <v:imagedata r:id="rId13" o:title="" cropbottom="12190f" cropleft="1638f" cropright="5139f"/>
          </v:shape>
        </w:pict>
      </w:r>
    </w:p>
    <w:p w:rsidR="00464A29" w:rsidRDefault="00464A29" w:rsidP="0039277C">
      <w:pPr>
        <w:pStyle w:val="Odstavecseseznamem2"/>
        <w:spacing w:before="120"/>
        <w:ind w:left="0"/>
      </w:pPr>
      <w:r>
        <w:t xml:space="preserve">Obr. 6.   Model vlastnictví a znalosti domény APV pro strategii </w:t>
      </w:r>
      <w:r w:rsidRPr="00362C1F">
        <w:t>OUTSIDE BOX</w:t>
      </w:r>
    </w:p>
    <w:p w:rsidR="00464A29" w:rsidRDefault="00464A29" w:rsidP="00B21581">
      <w:pPr>
        <w:pStyle w:val="ListParagraph"/>
        <w:spacing w:after="0"/>
        <w:rPr>
          <w:rFonts w:ascii="Times New Roman" w:hAnsi="Times New Roman"/>
          <w:b/>
          <w:sz w:val="24"/>
        </w:rPr>
      </w:pPr>
    </w:p>
    <w:p w:rsidR="00464A29" w:rsidRDefault="00464A29" w:rsidP="00B21581">
      <w:pPr>
        <w:pStyle w:val="ListParagraph"/>
        <w:spacing w:after="0"/>
        <w:rPr>
          <w:rFonts w:ascii="Times New Roman" w:hAnsi="Times New Roman"/>
          <w:b/>
          <w:sz w:val="24"/>
        </w:rPr>
      </w:pPr>
    </w:p>
    <w:p w:rsidR="00464A29" w:rsidRPr="00777F6C" w:rsidRDefault="00464A29" w:rsidP="00777F6C">
      <w:pPr>
        <w:rPr>
          <w:rFonts w:ascii="Times New Roman" w:hAnsi="Times New Roman"/>
          <w:b/>
          <w:sz w:val="24"/>
          <w:szCs w:val="24"/>
        </w:rPr>
      </w:pPr>
      <w:r>
        <w:br w:type="page"/>
      </w:r>
      <w:r w:rsidRPr="00777F6C">
        <w:rPr>
          <w:rFonts w:ascii="Times New Roman" w:hAnsi="Times New Roman"/>
          <w:b/>
          <w:sz w:val="24"/>
          <w:szCs w:val="24"/>
        </w:rPr>
        <w:tab/>
      </w:r>
      <w:r w:rsidRPr="00777F6C">
        <w:rPr>
          <w:rFonts w:ascii="Times New Roman" w:hAnsi="Times New Roman"/>
          <w:b/>
          <w:sz w:val="24"/>
          <w:szCs w:val="24"/>
        </w:rPr>
        <w:tab/>
      </w:r>
      <w:r w:rsidRPr="00777F6C">
        <w:rPr>
          <w:rFonts w:ascii="Times New Roman" w:hAnsi="Times New Roman"/>
          <w:b/>
          <w:sz w:val="24"/>
          <w:szCs w:val="24"/>
        </w:rPr>
        <w:tab/>
      </w:r>
      <w:r w:rsidRPr="00777F6C">
        <w:rPr>
          <w:rFonts w:ascii="Times New Roman" w:hAnsi="Times New Roman"/>
          <w:b/>
          <w:sz w:val="24"/>
          <w:szCs w:val="24"/>
        </w:rPr>
        <w:tab/>
      </w:r>
      <w:r w:rsidRPr="00777F6C">
        <w:rPr>
          <w:rFonts w:ascii="Times New Roman" w:hAnsi="Times New Roman"/>
          <w:b/>
          <w:sz w:val="24"/>
          <w:szCs w:val="24"/>
        </w:rPr>
        <w:tab/>
      </w:r>
      <w:r w:rsidRPr="00777F6C">
        <w:rPr>
          <w:rFonts w:ascii="Times New Roman" w:hAnsi="Times New Roman"/>
          <w:b/>
          <w:sz w:val="24"/>
          <w:szCs w:val="24"/>
        </w:rPr>
        <w:tab/>
      </w:r>
      <w:r w:rsidRPr="00777F6C">
        <w:rPr>
          <w:rFonts w:ascii="Times New Roman" w:hAnsi="Times New Roman"/>
          <w:b/>
          <w:sz w:val="24"/>
          <w:szCs w:val="24"/>
        </w:rPr>
        <w:tab/>
      </w:r>
      <w:r w:rsidRPr="00777F6C">
        <w:rPr>
          <w:rFonts w:ascii="Times New Roman" w:hAnsi="Times New Roman"/>
          <w:b/>
          <w:sz w:val="24"/>
          <w:szCs w:val="24"/>
        </w:rPr>
        <w:tab/>
      </w:r>
      <w:r w:rsidRPr="00777F6C">
        <w:rPr>
          <w:rFonts w:ascii="Times New Roman" w:hAnsi="Times New Roman"/>
          <w:b/>
          <w:sz w:val="24"/>
          <w:szCs w:val="24"/>
        </w:rPr>
        <w:tab/>
      </w:r>
      <w:r w:rsidRPr="00777F6C">
        <w:rPr>
          <w:rFonts w:ascii="Times New Roman" w:hAnsi="Times New Roman"/>
          <w:b/>
          <w:sz w:val="24"/>
          <w:szCs w:val="24"/>
        </w:rPr>
        <w:tab/>
        <w:t>Příloha 2</w:t>
      </w:r>
    </w:p>
    <w:p w:rsidR="00464A29" w:rsidRDefault="00464A29" w:rsidP="008E3EB8">
      <w:pPr>
        <w:pStyle w:val="Heading1"/>
        <w:spacing w:before="0" w:line="240" w:lineRule="auto"/>
        <w:rPr>
          <w:color w:val="auto"/>
        </w:rPr>
      </w:pPr>
      <w:bookmarkStart w:id="6" w:name="_Toc380742368"/>
    </w:p>
    <w:p w:rsidR="00464A29" w:rsidRPr="00777F6C" w:rsidRDefault="00464A29" w:rsidP="00777F6C">
      <w:pPr>
        <w:pStyle w:val="Heading1"/>
        <w:spacing w:before="0" w:line="240" w:lineRule="auto"/>
        <w:jc w:val="center"/>
        <w:rPr>
          <w:rFonts w:ascii="Times New Roman" w:hAnsi="Times New Roman"/>
          <w:color w:val="auto"/>
          <w:sz w:val="28"/>
        </w:rPr>
      </w:pPr>
      <w:r w:rsidRPr="00777F6C">
        <w:rPr>
          <w:rFonts w:ascii="Times New Roman" w:hAnsi="Times New Roman"/>
          <w:color w:val="auto"/>
          <w:sz w:val="28"/>
        </w:rPr>
        <w:t>Podrobné požadavky na projektovou podporu integrace APV</w:t>
      </w:r>
      <w:bookmarkEnd w:id="6"/>
    </w:p>
    <w:p w:rsidR="00464A29" w:rsidRDefault="00464A29" w:rsidP="00926E63">
      <w:pPr>
        <w:spacing w:after="0"/>
        <w:ind w:firstLine="709"/>
        <w:rPr>
          <w:rFonts w:ascii="Times New Roman" w:hAnsi="Times New Roman"/>
          <w:sz w:val="24"/>
        </w:rPr>
      </w:pPr>
    </w:p>
    <w:p w:rsidR="00464A29" w:rsidRDefault="00464A29" w:rsidP="00926E63">
      <w:pPr>
        <w:spacing w:after="0"/>
        <w:ind w:firstLine="34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Poskytovatel projektové podpory plní funkci </w:t>
      </w:r>
      <w:r w:rsidRPr="00CC258D">
        <w:rPr>
          <w:rFonts w:ascii="Times New Roman" w:hAnsi="Times New Roman"/>
          <w:b/>
          <w:sz w:val="24"/>
        </w:rPr>
        <w:t>Projektové kanceláře</w:t>
      </w:r>
      <w:r>
        <w:rPr>
          <w:rFonts w:ascii="Times New Roman" w:hAnsi="Times New Roman"/>
          <w:sz w:val="24"/>
        </w:rPr>
        <w:t xml:space="preserve"> v rozsahu:</w:t>
      </w:r>
    </w:p>
    <w:p w:rsidR="00464A29" w:rsidRDefault="00464A29" w:rsidP="00926E63">
      <w:pPr>
        <w:spacing w:after="0"/>
        <w:ind w:firstLine="34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(poznámka: BB = BLACK BOX, IB = INSIDE BOX, OB = OUTSIDE BOX)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479"/>
        <w:gridCol w:w="567"/>
        <w:gridCol w:w="567"/>
        <w:gridCol w:w="599"/>
      </w:tblGrid>
      <w:tr w:rsidR="00464A29" w:rsidRPr="003D7D99" w:rsidTr="003D7D99">
        <w:tc>
          <w:tcPr>
            <w:tcW w:w="7479" w:type="dxa"/>
          </w:tcPr>
          <w:p w:rsidR="00464A29" w:rsidRPr="003D7D99" w:rsidRDefault="00464A29" w:rsidP="003D7D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3D7D99">
              <w:rPr>
                <w:rFonts w:ascii="Times New Roman" w:hAnsi="Times New Roman"/>
                <w:b/>
                <w:sz w:val="24"/>
              </w:rPr>
              <w:t>Požadavek na projektovou kancelář</w:t>
            </w:r>
          </w:p>
        </w:tc>
        <w:tc>
          <w:tcPr>
            <w:tcW w:w="567" w:type="dxa"/>
          </w:tcPr>
          <w:p w:rsidR="00464A29" w:rsidRPr="003D7D99" w:rsidRDefault="00464A29" w:rsidP="003D7D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3D7D99">
              <w:rPr>
                <w:rFonts w:ascii="Times New Roman" w:hAnsi="Times New Roman"/>
                <w:b/>
                <w:sz w:val="24"/>
              </w:rPr>
              <w:t>BB</w:t>
            </w:r>
          </w:p>
        </w:tc>
        <w:tc>
          <w:tcPr>
            <w:tcW w:w="567" w:type="dxa"/>
          </w:tcPr>
          <w:p w:rsidR="00464A29" w:rsidRPr="003D7D99" w:rsidRDefault="00464A29" w:rsidP="003D7D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3D7D99">
              <w:rPr>
                <w:rFonts w:ascii="Times New Roman" w:hAnsi="Times New Roman"/>
                <w:b/>
                <w:sz w:val="24"/>
              </w:rPr>
              <w:t>IB</w:t>
            </w:r>
          </w:p>
        </w:tc>
        <w:tc>
          <w:tcPr>
            <w:tcW w:w="599" w:type="dxa"/>
          </w:tcPr>
          <w:p w:rsidR="00464A29" w:rsidRPr="003D7D99" w:rsidRDefault="00464A29" w:rsidP="003D7D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3D7D99">
              <w:rPr>
                <w:rFonts w:ascii="Times New Roman" w:hAnsi="Times New Roman"/>
                <w:b/>
                <w:sz w:val="24"/>
              </w:rPr>
              <w:t>OB</w:t>
            </w:r>
          </w:p>
        </w:tc>
      </w:tr>
      <w:tr w:rsidR="00464A29" w:rsidRPr="003D7D99" w:rsidTr="003D7D99">
        <w:tc>
          <w:tcPr>
            <w:tcW w:w="7479" w:type="dxa"/>
          </w:tcPr>
          <w:p w:rsidR="00464A29" w:rsidRPr="003D7D99" w:rsidRDefault="00464A29" w:rsidP="003D7D9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</w:rPr>
            </w:pPr>
            <w:r w:rsidRPr="003D7D99">
              <w:rPr>
                <w:rFonts w:ascii="Times New Roman" w:hAnsi="Times New Roman"/>
                <w:sz w:val="24"/>
              </w:rPr>
              <w:t>Standardní požadavky na činnost projektové kanceláře pro projekt zadaného rozsahu</w:t>
            </w:r>
          </w:p>
        </w:tc>
        <w:tc>
          <w:tcPr>
            <w:tcW w:w="567" w:type="dxa"/>
            <w:vAlign w:val="center"/>
          </w:tcPr>
          <w:p w:rsidR="00464A29" w:rsidRPr="003D7D99" w:rsidRDefault="00464A29" w:rsidP="003D7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D7D99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567" w:type="dxa"/>
            <w:vAlign w:val="center"/>
          </w:tcPr>
          <w:p w:rsidR="00464A29" w:rsidRPr="003D7D99" w:rsidRDefault="00464A29" w:rsidP="003D7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D7D99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599" w:type="dxa"/>
            <w:vAlign w:val="center"/>
          </w:tcPr>
          <w:p w:rsidR="00464A29" w:rsidRPr="003D7D99" w:rsidRDefault="00464A29" w:rsidP="003D7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64A29" w:rsidRPr="003D7D99" w:rsidTr="003D7D99">
        <w:tc>
          <w:tcPr>
            <w:tcW w:w="7479" w:type="dxa"/>
          </w:tcPr>
          <w:p w:rsidR="00464A29" w:rsidRPr="003D7D99" w:rsidRDefault="00464A29" w:rsidP="003D7D9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</w:rPr>
            </w:pPr>
            <w:r w:rsidRPr="003D7D99">
              <w:rPr>
                <w:rFonts w:ascii="Times New Roman" w:hAnsi="Times New Roman"/>
                <w:sz w:val="24"/>
              </w:rPr>
              <w:t>Management požadavků na změny APV.</w:t>
            </w:r>
          </w:p>
        </w:tc>
        <w:tc>
          <w:tcPr>
            <w:tcW w:w="567" w:type="dxa"/>
            <w:vAlign w:val="center"/>
          </w:tcPr>
          <w:p w:rsidR="00464A29" w:rsidRPr="003D7D99" w:rsidRDefault="00464A29" w:rsidP="003D7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D7D99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567" w:type="dxa"/>
            <w:vAlign w:val="center"/>
          </w:tcPr>
          <w:p w:rsidR="00464A29" w:rsidRPr="003D7D99" w:rsidRDefault="00464A29" w:rsidP="003D7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D7D99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599" w:type="dxa"/>
            <w:vAlign w:val="center"/>
          </w:tcPr>
          <w:p w:rsidR="00464A29" w:rsidRPr="003D7D99" w:rsidRDefault="00464A29" w:rsidP="003D7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64A29" w:rsidRPr="003D7D99" w:rsidTr="003D7D99">
        <w:tc>
          <w:tcPr>
            <w:tcW w:w="7479" w:type="dxa"/>
          </w:tcPr>
          <w:p w:rsidR="00464A29" w:rsidRPr="003D7D99" w:rsidRDefault="00464A29" w:rsidP="003D7D9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</w:rPr>
            </w:pPr>
            <w:r w:rsidRPr="003D7D99">
              <w:rPr>
                <w:rFonts w:ascii="Times New Roman" w:hAnsi="Times New Roman"/>
                <w:sz w:val="24"/>
              </w:rPr>
              <w:t>Plní roli systémového integrátora.</w:t>
            </w:r>
          </w:p>
        </w:tc>
        <w:tc>
          <w:tcPr>
            <w:tcW w:w="567" w:type="dxa"/>
            <w:vAlign w:val="center"/>
          </w:tcPr>
          <w:p w:rsidR="00464A29" w:rsidRPr="003D7D99" w:rsidRDefault="00464A29" w:rsidP="003D7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D7D99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567" w:type="dxa"/>
            <w:vAlign w:val="center"/>
          </w:tcPr>
          <w:p w:rsidR="00464A29" w:rsidRPr="003D7D99" w:rsidRDefault="00464A29" w:rsidP="003D7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9" w:type="dxa"/>
            <w:vAlign w:val="center"/>
          </w:tcPr>
          <w:p w:rsidR="00464A29" w:rsidRPr="003D7D99" w:rsidRDefault="00464A29" w:rsidP="003D7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64A29" w:rsidRPr="003D7D99" w:rsidTr="003D7D99">
        <w:tc>
          <w:tcPr>
            <w:tcW w:w="7479" w:type="dxa"/>
          </w:tcPr>
          <w:p w:rsidR="00464A29" w:rsidRPr="003D7D99" w:rsidRDefault="00464A29" w:rsidP="003D7D9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</w:rPr>
            </w:pPr>
            <w:r w:rsidRPr="003D7D99">
              <w:rPr>
                <w:rFonts w:ascii="Times New Roman" w:hAnsi="Times New Roman"/>
                <w:sz w:val="24"/>
              </w:rPr>
              <w:t>Zavede v projektové kanceláři a bude prosazovat u subdodavatelů modulů APV standardizovanou metodiku životního cyklu vývoje SW aplikace (ISO 15505/ISO 12207), zpracuje návrh její implementaci v resortu.</w:t>
            </w:r>
          </w:p>
        </w:tc>
        <w:tc>
          <w:tcPr>
            <w:tcW w:w="567" w:type="dxa"/>
            <w:vAlign w:val="center"/>
          </w:tcPr>
          <w:p w:rsidR="00464A29" w:rsidRPr="003D7D99" w:rsidRDefault="00464A29" w:rsidP="003D7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D7D99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567" w:type="dxa"/>
            <w:vAlign w:val="center"/>
          </w:tcPr>
          <w:p w:rsidR="00464A29" w:rsidRPr="003D7D99" w:rsidRDefault="00464A29" w:rsidP="003D7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D7D99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599" w:type="dxa"/>
            <w:vAlign w:val="center"/>
          </w:tcPr>
          <w:p w:rsidR="00464A29" w:rsidRPr="003D7D99" w:rsidRDefault="00464A29" w:rsidP="003D7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64A29" w:rsidRPr="003D7D99" w:rsidTr="003D7D99">
        <w:tc>
          <w:tcPr>
            <w:tcW w:w="7479" w:type="dxa"/>
          </w:tcPr>
          <w:p w:rsidR="00464A29" w:rsidRPr="003D7D99" w:rsidRDefault="00464A29" w:rsidP="003D7D9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</w:rPr>
            </w:pPr>
            <w:r w:rsidRPr="003D7D99">
              <w:rPr>
                <w:rFonts w:ascii="Times New Roman" w:hAnsi="Times New Roman"/>
                <w:sz w:val="24"/>
              </w:rPr>
              <w:t>Zavede v projektové kanceláři metodiku řízení SW projektů (ze strany zadavatele) podle metodik Prince2 nebo PMBOK, zpracuje návrh její implementace v resortu.</w:t>
            </w:r>
          </w:p>
        </w:tc>
        <w:tc>
          <w:tcPr>
            <w:tcW w:w="567" w:type="dxa"/>
            <w:vAlign w:val="center"/>
          </w:tcPr>
          <w:p w:rsidR="00464A29" w:rsidRPr="003D7D99" w:rsidRDefault="00464A29" w:rsidP="003D7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D7D99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567" w:type="dxa"/>
            <w:vAlign w:val="center"/>
          </w:tcPr>
          <w:p w:rsidR="00464A29" w:rsidRPr="003D7D99" w:rsidRDefault="00464A29" w:rsidP="003D7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D7D99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599" w:type="dxa"/>
            <w:vAlign w:val="center"/>
          </w:tcPr>
          <w:p w:rsidR="00464A29" w:rsidRPr="003D7D99" w:rsidRDefault="00464A29" w:rsidP="003D7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64A29" w:rsidRPr="003D7D99" w:rsidTr="003D7D99">
        <w:tc>
          <w:tcPr>
            <w:tcW w:w="7479" w:type="dxa"/>
          </w:tcPr>
          <w:p w:rsidR="00464A29" w:rsidRPr="003D7D99" w:rsidRDefault="00464A29" w:rsidP="003D7D9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</w:rPr>
            </w:pPr>
            <w:r w:rsidRPr="003D7D99">
              <w:rPr>
                <w:rFonts w:ascii="Times New Roman" w:hAnsi="Times New Roman"/>
                <w:sz w:val="24"/>
              </w:rPr>
              <w:t>Plní funkci mentora pro vytvoření schopnosti projektové kanceláře integrovaného APV v resortu MO.</w:t>
            </w:r>
          </w:p>
        </w:tc>
        <w:tc>
          <w:tcPr>
            <w:tcW w:w="567" w:type="dxa"/>
            <w:vAlign w:val="center"/>
          </w:tcPr>
          <w:p w:rsidR="00464A29" w:rsidRPr="003D7D99" w:rsidRDefault="00464A29" w:rsidP="003D7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D7D99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567" w:type="dxa"/>
            <w:vAlign w:val="center"/>
          </w:tcPr>
          <w:p w:rsidR="00464A29" w:rsidRPr="003D7D99" w:rsidRDefault="00464A29" w:rsidP="003D7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D7D99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599" w:type="dxa"/>
            <w:vAlign w:val="center"/>
          </w:tcPr>
          <w:p w:rsidR="00464A29" w:rsidRPr="003D7D99" w:rsidRDefault="00464A29" w:rsidP="003D7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64A29" w:rsidRPr="003D7D99" w:rsidTr="003D7D99">
        <w:tc>
          <w:tcPr>
            <w:tcW w:w="7479" w:type="dxa"/>
          </w:tcPr>
          <w:p w:rsidR="00464A29" w:rsidRPr="003D7D99" w:rsidRDefault="00464A29" w:rsidP="003D7D9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</w:rPr>
            </w:pPr>
            <w:r w:rsidRPr="003D7D99">
              <w:rPr>
                <w:rFonts w:ascii="Times New Roman" w:hAnsi="Times New Roman"/>
                <w:sz w:val="24"/>
              </w:rPr>
              <w:t>Ve spolupráci s Hlavními uživateli APV bude připravovat specifikace pro zadávání vývoje nových nebo úpravy stávajících modulů APV.</w:t>
            </w:r>
          </w:p>
        </w:tc>
        <w:tc>
          <w:tcPr>
            <w:tcW w:w="567" w:type="dxa"/>
            <w:vAlign w:val="center"/>
          </w:tcPr>
          <w:p w:rsidR="00464A29" w:rsidRPr="003D7D99" w:rsidRDefault="00464A29" w:rsidP="003D7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D7D99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567" w:type="dxa"/>
            <w:vAlign w:val="center"/>
          </w:tcPr>
          <w:p w:rsidR="00464A29" w:rsidRPr="003D7D99" w:rsidRDefault="00464A29" w:rsidP="003D7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9" w:type="dxa"/>
            <w:vAlign w:val="center"/>
          </w:tcPr>
          <w:p w:rsidR="00464A29" w:rsidRPr="003D7D99" w:rsidRDefault="00464A29" w:rsidP="003D7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64A29" w:rsidRPr="003D7D99" w:rsidTr="003D7D99">
        <w:tc>
          <w:tcPr>
            <w:tcW w:w="7479" w:type="dxa"/>
          </w:tcPr>
          <w:p w:rsidR="00464A29" w:rsidRPr="003D7D99" w:rsidRDefault="00464A29" w:rsidP="003D7D9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</w:rPr>
            </w:pPr>
            <w:r w:rsidRPr="003D7D99">
              <w:rPr>
                <w:rFonts w:ascii="Times New Roman" w:hAnsi="Times New Roman"/>
                <w:sz w:val="24"/>
              </w:rPr>
              <w:t xml:space="preserve">Z pověření MO plní funkci Zadavatele výběrových řízení na subdodávku  modulů APV  pro integraci. </w:t>
            </w:r>
          </w:p>
        </w:tc>
        <w:tc>
          <w:tcPr>
            <w:tcW w:w="567" w:type="dxa"/>
            <w:vAlign w:val="center"/>
          </w:tcPr>
          <w:p w:rsidR="00464A29" w:rsidRPr="003D7D99" w:rsidRDefault="00464A29" w:rsidP="003D7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D7D99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567" w:type="dxa"/>
            <w:vAlign w:val="center"/>
          </w:tcPr>
          <w:p w:rsidR="00464A29" w:rsidRPr="003D7D99" w:rsidRDefault="00464A29" w:rsidP="003D7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9" w:type="dxa"/>
            <w:vAlign w:val="center"/>
          </w:tcPr>
          <w:p w:rsidR="00464A29" w:rsidRPr="003D7D99" w:rsidRDefault="00464A29" w:rsidP="003D7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64A29" w:rsidRPr="003D7D99" w:rsidTr="003D7D99">
        <w:tc>
          <w:tcPr>
            <w:tcW w:w="7479" w:type="dxa"/>
          </w:tcPr>
          <w:p w:rsidR="00464A29" w:rsidRPr="003D7D99" w:rsidRDefault="00464A29" w:rsidP="003D7D9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</w:rPr>
            </w:pPr>
            <w:r w:rsidRPr="003D7D99">
              <w:rPr>
                <w:rFonts w:ascii="Times New Roman" w:hAnsi="Times New Roman"/>
                <w:sz w:val="24"/>
              </w:rPr>
              <w:t xml:space="preserve">Bude dohlížet nad testováním v průběhu celého vývoje (testy modulů, integrační testy, systémové testy) a jejich výsledky předávat MO. </w:t>
            </w:r>
          </w:p>
        </w:tc>
        <w:tc>
          <w:tcPr>
            <w:tcW w:w="567" w:type="dxa"/>
            <w:vAlign w:val="center"/>
          </w:tcPr>
          <w:p w:rsidR="00464A29" w:rsidRPr="003D7D99" w:rsidRDefault="00464A29" w:rsidP="003D7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D7D99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567" w:type="dxa"/>
            <w:vAlign w:val="center"/>
          </w:tcPr>
          <w:p w:rsidR="00464A29" w:rsidRPr="003D7D99" w:rsidRDefault="00464A29" w:rsidP="003D7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D7D99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599" w:type="dxa"/>
            <w:vAlign w:val="center"/>
          </w:tcPr>
          <w:p w:rsidR="00464A29" w:rsidRPr="003D7D99" w:rsidRDefault="00464A29" w:rsidP="003D7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64A29" w:rsidRPr="003D7D99" w:rsidTr="003D7D99">
        <w:tc>
          <w:tcPr>
            <w:tcW w:w="7479" w:type="dxa"/>
          </w:tcPr>
          <w:p w:rsidR="00464A29" w:rsidRPr="003D7D99" w:rsidRDefault="00464A29" w:rsidP="003D7D9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</w:rPr>
            </w:pPr>
            <w:r w:rsidRPr="003D7D99">
              <w:rPr>
                <w:rFonts w:ascii="Times New Roman" w:hAnsi="Times New Roman"/>
                <w:sz w:val="24"/>
              </w:rPr>
              <w:t xml:space="preserve">Bude odborně komunikovat s dodavateli jednotlivých přírůstků APV a bude zodpovědný, že dodavatelé budou jednotlivé moduly SW dodávat plně zdokumentovány, v souladu s integrační architekturou a v odpovídající kvalitě. Stanoví způsob a rozsah požadované dokumentace modulů APV. </w:t>
            </w:r>
          </w:p>
        </w:tc>
        <w:tc>
          <w:tcPr>
            <w:tcW w:w="567" w:type="dxa"/>
            <w:vAlign w:val="center"/>
          </w:tcPr>
          <w:p w:rsidR="00464A29" w:rsidRPr="003D7D99" w:rsidRDefault="00464A29" w:rsidP="003D7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D7D99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567" w:type="dxa"/>
            <w:vAlign w:val="center"/>
          </w:tcPr>
          <w:p w:rsidR="00464A29" w:rsidRPr="003D7D99" w:rsidRDefault="00464A29" w:rsidP="003D7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9" w:type="dxa"/>
            <w:vAlign w:val="center"/>
          </w:tcPr>
          <w:p w:rsidR="00464A29" w:rsidRPr="003D7D99" w:rsidRDefault="00464A29" w:rsidP="003D7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464A29" w:rsidRDefault="00464A29" w:rsidP="00926E63">
      <w:pPr>
        <w:spacing w:after="0"/>
        <w:ind w:firstLine="349"/>
        <w:jc w:val="both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479"/>
        <w:gridCol w:w="567"/>
        <w:gridCol w:w="567"/>
        <w:gridCol w:w="599"/>
      </w:tblGrid>
      <w:tr w:rsidR="00464A29" w:rsidRPr="003D7D99" w:rsidTr="003D7D99">
        <w:tc>
          <w:tcPr>
            <w:tcW w:w="7479" w:type="dxa"/>
          </w:tcPr>
          <w:p w:rsidR="00464A29" w:rsidRPr="003D7D99" w:rsidRDefault="00464A29" w:rsidP="003D7D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3D7D99">
              <w:rPr>
                <w:rFonts w:ascii="Times New Roman" w:hAnsi="Times New Roman"/>
                <w:b/>
                <w:sz w:val="24"/>
              </w:rPr>
              <w:t>Požadavek na funkci Business analytika</w:t>
            </w:r>
          </w:p>
        </w:tc>
        <w:tc>
          <w:tcPr>
            <w:tcW w:w="567" w:type="dxa"/>
          </w:tcPr>
          <w:p w:rsidR="00464A29" w:rsidRPr="003D7D99" w:rsidRDefault="00464A29" w:rsidP="003D7D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3D7D99">
              <w:rPr>
                <w:rFonts w:ascii="Times New Roman" w:hAnsi="Times New Roman"/>
                <w:b/>
                <w:sz w:val="24"/>
              </w:rPr>
              <w:t>BB</w:t>
            </w:r>
          </w:p>
        </w:tc>
        <w:tc>
          <w:tcPr>
            <w:tcW w:w="567" w:type="dxa"/>
          </w:tcPr>
          <w:p w:rsidR="00464A29" w:rsidRPr="003D7D99" w:rsidRDefault="00464A29" w:rsidP="003D7D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3D7D99">
              <w:rPr>
                <w:rFonts w:ascii="Times New Roman" w:hAnsi="Times New Roman"/>
                <w:b/>
                <w:sz w:val="24"/>
              </w:rPr>
              <w:t>IB</w:t>
            </w:r>
          </w:p>
        </w:tc>
        <w:tc>
          <w:tcPr>
            <w:tcW w:w="599" w:type="dxa"/>
          </w:tcPr>
          <w:p w:rsidR="00464A29" w:rsidRPr="003D7D99" w:rsidRDefault="00464A29" w:rsidP="003D7D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3D7D99">
              <w:rPr>
                <w:rFonts w:ascii="Times New Roman" w:hAnsi="Times New Roman"/>
                <w:b/>
                <w:sz w:val="24"/>
              </w:rPr>
              <w:t>OB</w:t>
            </w:r>
          </w:p>
        </w:tc>
      </w:tr>
      <w:tr w:rsidR="00464A29" w:rsidRPr="003D7D99" w:rsidTr="003D7D99">
        <w:tc>
          <w:tcPr>
            <w:tcW w:w="7479" w:type="dxa"/>
          </w:tcPr>
          <w:p w:rsidR="00464A29" w:rsidRPr="003D7D99" w:rsidRDefault="00464A29" w:rsidP="003D7D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D7D99">
              <w:rPr>
                <w:rFonts w:ascii="Times New Roman" w:hAnsi="Times New Roman"/>
                <w:sz w:val="24"/>
              </w:rPr>
              <w:t>Ve spolupráci s Hlavními uživateli APV bude vytvářet Business Analýzy  přírůstků APV podle metodiky BABOK 2.0 v nástroji Enterprise Architect. Business analýza přírůstku APV v nástroji Enterprise Architect bude součástí zadání pro sub-dodavatele (BB) nebo vlastní vývoj dodavatelem (IB).</w:t>
            </w:r>
          </w:p>
        </w:tc>
        <w:tc>
          <w:tcPr>
            <w:tcW w:w="567" w:type="dxa"/>
            <w:vAlign w:val="center"/>
          </w:tcPr>
          <w:p w:rsidR="00464A29" w:rsidRPr="003D7D99" w:rsidRDefault="00464A29" w:rsidP="003D7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D7D99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567" w:type="dxa"/>
            <w:vAlign w:val="center"/>
          </w:tcPr>
          <w:p w:rsidR="00464A29" w:rsidRPr="003D7D99" w:rsidRDefault="00464A29" w:rsidP="003D7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D7D99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599" w:type="dxa"/>
            <w:vAlign w:val="center"/>
          </w:tcPr>
          <w:p w:rsidR="00464A29" w:rsidRPr="003D7D99" w:rsidRDefault="00464A29" w:rsidP="003D7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D7D99">
              <w:rPr>
                <w:rFonts w:ascii="Times New Roman" w:hAnsi="Times New Roman"/>
                <w:sz w:val="24"/>
              </w:rPr>
              <w:t>X</w:t>
            </w:r>
          </w:p>
        </w:tc>
      </w:tr>
      <w:tr w:rsidR="00464A29" w:rsidRPr="003D7D99" w:rsidTr="003D7D99">
        <w:tc>
          <w:tcPr>
            <w:tcW w:w="7479" w:type="dxa"/>
          </w:tcPr>
          <w:p w:rsidR="00464A29" w:rsidRPr="003D7D99" w:rsidRDefault="00464A29" w:rsidP="003D7D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D7D99">
              <w:rPr>
                <w:rFonts w:ascii="Times New Roman" w:hAnsi="Times New Roman"/>
                <w:sz w:val="24"/>
              </w:rPr>
              <w:t>Metodou funkčních bodů bude oceňovat pracnost a finanční nákladnost realizace nových/upravených modulů APV. Toto ocenění bude podkladem pro stanovení maximální ceny zakázky.</w:t>
            </w:r>
          </w:p>
        </w:tc>
        <w:tc>
          <w:tcPr>
            <w:tcW w:w="567" w:type="dxa"/>
            <w:vAlign w:val="center"/>
          </w:tcPr>
          <w:p w:rsidR="00464A29" w:rsidRPr="003D7D99" w:rsidRDefault="00464A29" w:rsidP="003D7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D7D99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567" w:type="dxa"/>
            <w:vAlign w:val="center"/>
          </w:tcPr>
          <w:p w:rsidR="00464A29" w:rsidRPr="003D7D99" w:rsidRDefault="00464A29" w:rsidP="003D7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D7D99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599" w:type="dxa"/>
            <w:vAlign w:val="center"/>
          </w:tcPr>
          <w:p w:rsidR="00464A29" w:rsidRPr="003D7D99" w:rsidRDefault="00464A29" w:rsidP="003D7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D7D99">
              <w:rPr>
                <w:rFonts w:ascii="Times New Roman" w:hAnsi="Times New Roman"/>
                <w:sz w:val="24"/>
              </w:rPr>
              <w:t>X</w:t>
            </w:r>
          </w:p>
        </w:tc>
      </w:tr>
    </w:tbl>
    <w:p w:rsidR="00464A29" w:rsidRDefault="00464A29" w:rsidP="00ED2AE5">
      <w:pPr>
        <w:jc w:val="both"/>
        <w:rPr>
          <w:rFonts w:ascii="Times New Roman" w:hAnsi="Times New Roman"/>
          <w:sz w:val="24"/>
        </w:rPr>
      </w:pPr>
    </w:p>
    <w:p w:rsidR="00464A29" w:rsidRDefault="00464A29" w:rsidP="00ED2AE5">
      <w:pPr>
        <w:jc w:val="both"/>
        <w:rPr>
          <w:rFonts w:ascii="Times New Roman" w:hAnsi="Times New Roman"/>
          <w:sz w:val="24"/>
        </w:rPr>
      </w:pPr>
    </w:p>
    <w:p w:rsidR="00464A29" w:rsidRDefault="00464A29" w:rsidP="00ED2AE5">
      <w:pPr>
        <w:jc w:val="both"/>
        <w:rPr>
          <w:rFonts w:ascii="Times New Roman" w:hAnsi="Times New Roman"/>
          <w:sz w:val="24"/>
        </w:rPr>
      </w:pPr>
    </w:p>
    <w:p w:rsidR="00464A29" w:rsidRDefault="00464A29" w:rsidP="00ED2AE5">
      <w:pPr>
        <w:jc w:val="both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479"/>
        <w:gridCol w:w="567"/>
        <w:gridCol w:w="567"/>
        <w:gridCol w:w="599"/>
      </w:tblGrid>
      <w:tr w:rsidR="00464A29" w:rsidRPr="003D7D99" w:rsidTr="003D7D99">
        <w:tc>
          <w:tcPr>
            <w:tcW w:w="7479" w:type="dxa"/>
          </w:tcPr>
          <w:p w:rsidR="00464A29" w:rsidRPr="003D7D99" w:rsidRDefault="00464A29" w:rsidP="003D7D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3D7D99">
              <w:rPr>
                <w:rFonts w:ascii="Times New Roman" w:hAnsi="Times New Roman"/>
                <w:b/>
                <w:sz w:val="24"/>
              </w:rPr>
              <w:t>Požadavek na funkci Architekta</w:t>
            </w:r>
          </w:p>
        </w:tc>
        <w:tc>
          <w:tcPr>
            <w:tcW w:w="567" w:type="dxa"/>
          </w:tcPr>
          <w:p w:rsidR="00464A29" w:rsidRPr="003D7D99" w:rsidRDefault="00464A29" w:rsidP="003D7D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3D7D99">
              <w:rPr>
                <w:rFonts w:ascii="Times New Roman" w:hAnsi="Times New Roman"/>
                <w:b/>
                <w:sz w:val="24"/>
              </w:rPr>
              <w:t>BB</w:t>
            </w:r>
          </w:p>
        </w:tc>
        <w:tc>
          <w:tcPr>
            <w:tcW w:w="567" w:type="dxa"/>
          </w:tcPr>
          <w:p w:rsidR="00464A29" w:rsidRPr="003D7D99" w:rsidRDefault="00464A29" w:rsidP="003D7D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3D7D99">
              <w:rPr>
                <w:rFonts w:ascii="Times New Roman" w:hAnsi="Times New Roman"/>
                <w:b/>
                <w:sz w:val="24"/>
              </w:rPr>
              <w:t>IB</w:t>
            </w:r>
          </w:p>
        </w:tc>
        <w:tc>
          <w:tcPr>
            <w:tcW w:w="599" w:type="dxa"/>
          </w:tcPr>
          <w:p w:rsidR="00464A29" w:rsidRPr="003D7D99" w:rsidRDefault="00464A29" w:rsidP="003D7D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3D7D99">
              <w:rPr>
                <w:rFonts w:ascii="Times New Roman" w:hAnsi="Times New Roman"/>
                <w:b/>
                <w:sz w:val="24"/>
              </w:rPr>
              <w:t>OB</w:t>
            </w:r>
          </w:p>
        </w:tc>
      </w:tr>
      <w:tr w:rsidR="00464A29" w:rsidRPr="003D7D99" w:rsidTr="003D7D99">
        <w:tc>
          <w:tcPr>
            <w:tcW w:w="7479" w:type="dxa"/>
          </w:tcPr>
          <w:p w:rsidR="00464A29" w:rsidRPr="003D7D99" w:rsidRDefault="00464A29" w:rsidP="003D7D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D7D99">
              <w:rPr>
                <w:rFonts w:ascii="Times New Roman" w:hAnsi="Times New Roman"/>
                <w:sz w:val="24"/>
              </w:rPr>
              <w:t>V součinnosti s kompetentním orgánem MO zpracuje cílovou architekturu pro integrované prostředí resortních APV zahrnující:</w:t>
            </w:r>
          </w:p>
        </w:tc>
        <w:tc>
          <w:tcPr>
            <w:tcW w:w="567" w:type="dxa"/>
            <w:vAlign w:val="center"/>
          </w:tcPr>
          <w:p w:rsidR="00464A29" w:rsidRPr="003D7D99" w:rsidRDefault="00464A29" w:rsidP="003D7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D7D99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567" w:type="dxa"/>
            <w:vAlign w:val="center"/>
          </w:tcPr>
          <w:p w:rsidR="00464A29" w:rsidRPr="003D7D99" w:rsidRDefault="00464A29" w:rsidP="003D7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D7D99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599" w:type="dxa"/>
            <w:vAlign w:val="center"/>
          </w:tcPr>
          <w:p w:rsidR="00464A29" w:rsidRPr="003D7D99" w:rsidRDefault="00464A29" w:rsidP="003D7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64A29" w:rsidRPr="003D7D99" w:rsidTr="003D7D99">
        <w:tc>
          <w:tcPr>
            <w:tcW w:w="7479" w:type="dxa"/>
          </w:tcPr>
          <w:p w:rsidR="00464A29" w:rsidRPr="003D7D99" w:rsidRDefault="00464A29" w:rsidP="003D7D99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567" w:hanging="283"/>
              <w:jc w:val="both"/>
              <w:rPr>
                <w:rFonts w:ascii="Times New Roman" w:hAnsi="Times New Roman"/>
                <w:sz w:val="24"/>
              </w:rPr>
            </w:pPr>
            <w:r w:rsidRPr="003D7D99">
              <w:rPr>
                <w:rFonts w:ascii="Times New Roman" w:hAnsi="Times New Roman"/>
                <w:sz w:val="24"/>
              </w:rPr>
              <w:t>technické řešení infrastruktury integrace s ohledem na zachování investic MO,</w:t>
            </w:r>
          </w:p>
          <w:p w:rsidR="00464A29" w:rsidRPr="003D7D99" w:rsidRDefault="00464A29" w:rsidP="003D7D99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567" w:hanging="283"/>
              <w:jc w:val="both"/>
              <w:rPr>
                <w:rFonts w:ascii="Times New Roman" w:hAnsi="Times New Roman"/>
                <w:sz w:val="24"/>
              </w:rPr>
            </w:pPr>
            <w:r w:rsidRPr="003D7D99">
              <w:rPr>
                <w:rFonts w:ascii="Times New Roman" w:hAnsi="Times New Roman"/>
                <w:sz w:val="24"/>
              </w:rPr>
              <w:t>počet a obsah jednotlivých přírůstků k vytvoření integrovaného APV</w:t>
            </w:r>
          </w:p>
          <w:p w:rsidR="00464A29" w:rsidRPr="003D7D99" w:rsidRDefault="00464A29" w:rsidP="003D7D99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567" w:hanging="283"/>
              <w:jc w:val="both"/>
              <w:rPr>
                <w:rFonts w:ascii="Times New Roman" w:hAnsi="Times New Roman"/>
                <w:sz w:val="24"/>
              </w:rPr>
            </w:pPr>
            <w:r w:rsidRPr="003D7D99">
              <w:rPr>
                <w:rFonts w:ascii="Times New Roman" w:hAnsi="Times New Roman"/>
                <w:sz w:val="24"/>
              </w:rPr>
              <w:t xml:space="preserve">využití a případná úprava stávajících společných služeb a vytvoření nových společných služeb a jejich implementace a využití k naplnění cílové architektury APV </w:t>
            </w:r>
          </w:p>
          <w:p w:rsidR="00464A29" w:rsidRPr="003D7D99" w:rsidRDefault="00464A29" w:rsidP="003D7D99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567" w:hanging="283"/>
              <w:jc w:val="both"/>
              <w:rPr>
                <w:rFonts w:ascii="Times New Roman" w:hAnsi="Times New Roman"/>
                <w:sz w:val="24"/>
              </w:rPr>
            </w:pPr>
            <w:r w:rsidRPr="003D7D99">
              <w:rPr>
                <w:rFonts w:ascii="Times New Roman" w:hAnsi="Times New Roman"/>
                <w:sz w:val="24"/>
              </w:rPr>
              <w:t xml:space="preserve">cílová architektura bude zpracovaná podle TOGAF 9.1 metodiky ADM (Architecture Development Method) jako její fáze A (Architecture Vision) s využitím nástroje Enterprise Architect. </w:t>
            </w:r>
          </w:p>
        </w:tc>
        <w:tc>
          <w:tcPr>
            <w:tcW w:w="567" w:type="dxa"/>
            <w:vAlign w:val="center"/>
          </w:tcPr>
          <w:p w:rsidR="00464A29" w:rsidRPr="003D7D99" w:rsidRDefault="00464A29" w:rsidP="003D7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D7D99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567" w:type="dxa"/>
            <w:vAlign w:val="center"/>
          </w:tcPr>
          <w:p w:rsidR="00464A29" w:rsidRPr="003D7D99" w:rsidRDefault="00464A29" w:rsidP="003D7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D7D99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599" w:type="dxa"/>
            <w:vAlign w:val="center"/>
          </w:tcPr>
          <w:p w:rsidR="00464A29" w:rsidRPr="003D7D99" w:rsidRDefault="00464A29" w:rsidP="003D7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64A29" w:rsidRPr="003D7D99" w:rsidTr="003D7D99">
        <w:tc>
          <w:tcPr>
            <w:tcW w:w="7479" w:type="dxa"/>
          </w:tcPr>
          <w:p w:rsidR="00464A29" w:rsidRPr="003D7D99" w:rsidRDefault="00464A29" w:rsidP="003D7D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D7D99">
              <w:rPr>
                <w:rFonts w:ascii="Times New Roman" w:hAnsi="Times New Roman"/>
                <w:sz w:val="24"/>
              </w:rPr>
              <w:t>Ve spolupráci s Hlavními uživateli APV bude vytvářet business architektury přírůstků APV podle TOGAF 9.1  (fáze B) v nástroji Enterprise Architect. Business architektury přírůstku APV v nástroji Enterprise Architect bude součástí zadání pro sub-dodavatele (BB) nebo vlastní vývoj dodavatelem (IB).</w:t>
            </w:r>
          </w:p>
        </w:tc>
        <w:tc>
          <w:tcPr>
            <w:tcW w:w="567" w:type="dxa"/>
            <w:vAlign w:val="center"/>
          </w:tcPr>
          <w:p w:rsidR="00464A29" w:rsidRPr="003D7D99" w:rsidRDefault="00464A29" w:rsidP="003D7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D7D99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567" w:type="dxa"/>
            <w:vAlign w:val="center"/>
          </w:tcPr>
          <w:p w:rsidR="00464A29" w:rsidRPr="003D7D99" w:rsidRDefault="00464A29" w:rsidP="003D7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D7D99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599" w:type="dxa"/>
            <w:vAlign w:val="center"/>
          </w:tcPr>
          <w:p w:rsidR="00464A29" w:rsidRPr="003D7D99" w:rsidRDefault="00464A29" w:rsidP="003D7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64A29" w:rsidRPr="003D7D99" w:rsidTr="003D7D99">
        <w:tc>
          <w:tcPr>
            <w:tcW w:w="7479" w:type="dxa"/>
          </w:tcPr>
          <w:p w:rsidR="00464A29" w:rsidRPr="003D7D99" w:rsidRDefault="00464A29" w:rsidP="003D7D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D7D99">
              <w:rPr>
                <w:rFonts w:ascii="Times New Roman" w:hAnsi="Times New Roman"/>
                <w:sz w:val="24"/>
              </w:rPr>
              <w:t xml:space="preserve">V rozsahu nezbytném pro vytvoření úplného zadání přírůstku APV zpracovává potřebné diagramy architektury informačních systému (TOGAF, fáze C Information Systems Architecture). </w:t>
            </w:r>
          </w:p>
        </w:tc>
        <w:tc>
          <w:tcPr>
            <w:tcW w:w="567" w:type="dxa"/>
            <w:vAlign w:val="center"/>
          </w:tcPr>
          <w:p w:rsidR="00464A29" w:rsidRPr="003D7D99" w:rsidRDefault="00464A29" w:rsidP="003D7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D7D99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567" w:type="dxa"/>
            <w:vAlign w:val="center"/>
          </w:tcPr>
          <w:p w:rsidR="00464A29" w:rsidRPr="003D7D99" w:rsidRDefault="00464A29" w:rsidP="003D7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D7D99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599" w:type="dxa"/>
            <w:vAlign w:val="center"/>
          </w:tcPr>
          <w:p w:rsidR="00464A29" w:rsidRPr="003D7D99" w:rsidRDefault="00464A29" w:rsidP="003D7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64A29" w:rsidRPr="003D7D99" w:rsidTr="003D7D99">
        <w:tc>
          <w:tcPr>
            <w:tcW w:w="7479" w:type="dxa"/>
          </w:tcPr>
          <w:p w:rsidR="00464A29" w:rsidRPr="003D7D99" w:rsidRDefault="00464A29" w:rsidP="003D7D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D7D99">
              <w:rPr>
                <w:rFonts w:ascii="Times New Roman" w:hAnsi="Times New Roman"/>
                <w:sz w:val="24"/>
              </w:rPr>
              <w:t>Metodami TOGAF zpracuje harmonogram (Road Map) implementace (fáze E) a migrační architekturu s plánem migrace (fáze F)</w:t>
            </w:r>
          </w:p>
        </w:tc>
        <w:tc>
          <w:tcPr>
            <w:tcW w:w="567" w:type="dxa"/>
            <w:vAlign w:val="center"/>
          </w:tcPr>
          <w:p w:rsidR="00464A29" w:rsidRPr="003D7D99" w:rsidRDefault="00464A29" w:rsidP="003D7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D7D99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567" w:type="dxa"/>
            <w:vAlign w:val="center"/>
          </w:tcPr>
          <w:p w:rsidR="00464A29" w:rsidRPr="003D7D99" w:rsidRDefault="00464A29" w:rsidP="003D7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9" w:type="dxa"/>
            <w:vAlign w:val="center"/>
          </w:tcPr>
          <w:p w:rsidR="00464A29" w:rsidRPr="003D7D99" w:rsidRDefault="00464A29" w:rsidP="003D7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64A29" w:rsidRPr="003D7D99" w:rsidTr="003D7D99">
        <w:tc>
          <w:tcPr>
            <w:tcW w:w="7479" w:type="dxa"/>
          </w:tcPr>
          <w:p w:rsidR="00464A29" w:rsidRPr="003D7D99" w:rsidRDefault="00464A29" w:rsidP="003D7D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D7D99">
              <w:rPr>
                <w:rFonts w:ascii="Times New Roman" w:hAnsi="Times New Roman"/>
                <w:sz w:val="24"/>
              </w:rPr>
              <w:t>Kontroluje, zda průběžné výsledky práce dodavatele jsou v souladu s architekturním zadáním a postupně doplňuje architekturu IS (fáze C) a technologickou architekturu (fáze D).</w:t>
            </w:r>
          </w:p>
        </w:tc>
        <w:tc>
          <w:tcPr>
            <w:tcW w:w="567" w:type="dxa"/>
            <w:vAlign w:val="center"/>
          </w:tcPr>
          <w:p w:rsidR="00464A29" w:rsidRPr="003D7D99" w:rsidRDefault="00464A29" w:rsidP="003D7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D7D99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567" w:type="dxa"/>
            <w:vAlign w:val="center"/>
          </w:tcPr>
          <w:p w:rsidR="00464A29" w:rsidRPr="003D7D99" w:rsidRDefault="00464A29" w:rsidP="003D7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D7D99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599" w:type="dxa"/>
            <w:vAlign w:val="center"/>
          </w:tcPr>
          <w:p w:rsidR="00464A29" w:rsidRPr="003D7D99" w:rsidRDefault="00464A29" w:rsidP="003D7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64A29" w:rsidRPr="003D7D99" w:rsidTr="003D7D99">
        <w:tc>
          <w:tcPr>
            <w:tcW w:w="7479" w:type="dxa"/>
          </w:tcPr>
          <w:p w:rsidR="00464A29" w:rsidRPr="003D7D99" w:rsidRDefault="00464A29" w:rsidP="003D7D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D7D99">
              <w:rPr>
                <w:rFonts w:ascii="Times New Roman" w:hAnsi="Times New Roman"/>
                <w:sz w:val="24"/>
              </w:rPr>
              <w:t>Pro podporu implementace a jejího projektového řízení dokončí životní cyklus architektury přírůstku APV a před zahájení analytické činnosti k následujícímu přírůstku provede nezbytnou aktualizaci cílové architektury (Architecture Vision).</w:t>
            </w:r>
          </w:p>
        </w:tc>
        <w:tc>
          <w:tcPr>
            <w:tcW w:w="567" w:type="dxa"/>
            <w:vAlign w:val="center"/>
          </w:tcPr>
          <w:p w:rsidR="00464A29" w:rsidRPr="003D7D99" w:rsidRDefault="00464A29" w:rsidP="003D7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D7D99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567" w:type="dxa"/>
            <w:vAlign w:val="center"/>
          </w:tcPr>
          <w:p w:rsidR="00464A29" w:rsidRPr="003D7D99" w:rsidRDefault="00464A29" w:rsidP="003D7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9" w:type="dxa"/>
            <w:vAlign w:val="center"/>
          </w:tcPr>
          <w:p w:rsidR="00464A29" w:rsidRPr="003D7D99" w:rsidRDefault="00464A29" w:rsidP="003D7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64A29" w:rsidRPr="003D7D99" w:rsidTr="003D7D99">
        <w:tc>
          <w:tcPr>
            <w:tcW w:w="7479" w:type="dxa"/>
          </w:tcPr>
          <w:p w:rsidR="00464A29" w:rsidRPr="003D7D99" w:rsidRDefault="00464A29" w:rsidP="003D7D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D7D99">
              <w:rPr>
                <w:rFonts w:ascii="Times New Roman" w:hAnsi="Times New Roman"/>
                <w:sz w:val="24"/>
              </w:rPr>
              <w:t>Plní funkci mentora pří tvorbě architektur resortu (Enterprise Architecture).</w:t>
            </w:r>
          </w:p>
        </w:tc>
        <w:tc>
          <w:tcPr>
            <w:tcW w:w="567" w:type="dxa"/>
            <w:vAlign w:val="center"/>
          </w:tcPr>
          <w:p w:rsidR="00464A29" w:rsidRPr="003D7D99" w:rsidRDefault="00464A29" w:rsidP="003D7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D7D99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567" w:type="dxa"/>
            <w:vAlign w:val="center"/>
          </w:tcPr>
          <w:p w:rsidR="00464A29" w:rsidRPr="003D7D99" w:rsidRDefault="00464A29" w:rsidP="003D7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D7D99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599" w:type="dxa"/>
            <w:vAlign w:val="center"/>
          </w:tcPr>
          <w:p w:rsidR="00464A29" w:rsidRPr="003D7D99" w:rsidRDefault="00464A29" w:rsidP="003D7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464A29" w:rsidRDefault="00464A29" w:rsidP="007F7802">
      <w:pPr>
        <w:spacing w:after="120"/>
        <w:ind w:firstLine="709"/>
        <w:jc w:val="both"/>
        <w:rPr>
          <w:rFonts w:ascii="Times New Roman" w:hAnsi="Times New Roman"/>
          <w:sz w:val="24"/>
        </w:rPr>
      </w:pPr>
    </w:p>
    <w:p w:rsidR="00464A29" w:rsidRDefault="00464A29" w:rsidP="007F7802">
      <w:pPr>
        <w:spacing w:after="120"/>
        <w:ind w:firstLine="709"/>
        <w:jc w:val="both"/>
        <w:rPr>
          <w:rFonts w:ascii="Times New Roman" w:hAnsi="Times New Roman"/>
          <w:sz w:val="24"/>
        </w:rPr>
      </w:pPr>
    </w:p>
    <w:p w:rsidR="00464A29" w:rsidRDefault="00464A29" w:rsidP="007F7802">
      <w:pPr>
        <w:spacing w:after="120"/>
        <w:ind w:firstLine="709"/>
        <w:jc w:val="both"/>
        <w:rPr>
          <w:rFonts w:ascii="Times New Roman" w:hAnsi="Times New Roman"/>
          <w:sz w:val="24"/>
        </w:rPr>
      </w:pPr>
    </w:p>
    <w:p w:rsidR="00464A29" w:rsidRDefault="00464A29" w:rsidP="007F7802">
      <w:pPr>
        <w:spacing w:after="120"/>
        <w:ind w:firstLine="709"/>
        <w:jc w:val="both"/>
        <w:rPr>
          <w:rFonts w:ascii="Times New Roman" w:hAnsi="Times New Roman"/>
          <w:sz w:val="24"/>
        </w:rPr>
      </w:pPr>
    </w:p>
    <w:p w:rsidR="00464A29" w:rsidRDefault="00464A29" w:rsidP="007F7802">
      <w:pPr>
        <w:spacing w:after="120"/>
        <w:ind w:firstLine="709"/>
        <w:jc w:val="both"/>
        <w:rPr>
          <w:rFonts w:ascii="Times New Roman" w:hAnsi="Times New Roman"/>
          <w:sz w:val="24"/>
        </w:rPr>
      </w:pPr>
    </w:p>
    <w:p w:rsidR="00464A29" w:rsidRDefault="00464A29" w:rsidP="007F7802">
      <w:pPr>
        <w:spacing w:after="120"/>
        <w:ind w:firstLine="709"/>
        <w:jc w:val="both"/>
        <w:rPr>
          <w:rFonts w:ascii="Times New Roman" w:hAnsi="Times New Roman"/>
          <w:sz w:val="24"/>
        </w:rPr>
      </w:pPr>
    </w:p>
    <w:p w:rsidR="00464A29" w:rsidRDefault="00464A29" w:rsidP="007F7802">
      <w:pPr>
        <w:spacing w:after="120"/>
        <w:ind w:firstLine="709"/>
        <w:jc w:val="both"/>
        <w:rPr>
          <w:rFonts w:ascii="Times New Roman" w:hAnsi="Times New Roman"/>
          <w:sz w:val="24"/>
        </w:rPr>
      </w:pPr>
    </w:p>
    <w:p w:rsidR="00464A29" w:rsidRDefault="00464A29" w:rsidP="007F7802">
      <w:pPr>
        <w:spacing w:after="120"/>
        <w:ind w:firstLine="709"/>
        <w:jc w:val="both"/>
        <w:rPr>
          <w:rFonts w:ascii="Times New Roman" w:hAnsi="Times New Roman"/>
          <w:sz w:val="24"/>
        </w:rPr>
      </w:pPr>
    </w:p>
    <w:p w:rsidR="00464A29" w:rsidRDefault="00464A29" w:rsidP="007F7802">
      <w:pPr>
        <w:spacing w:after="120"/>
        <w:ind w:firstLine="709"/>
        <w:jc w:val="both"/>
        <w:rPr>
          <w:rFonts w:ascii="Times New Roman" w:hAnsi="Times New Roman"/>
          <w:sz w:val="24"/>
        </w:rPr>
      </w:pPr>
    </w:p>
    <w:p w:rsidR="00464A29" w:rsidRDefault="00464A29" w:rsidP="007F7802">
      <w:pPr>
        <w:spacing w:after="120"/>
        <w:ind w:firstLine="709"/>
        <w:jc w:val="both"/>
        <w:rPr>
          <w:rFonts w:ascii="Times New Roman" w:hAnsi="Times New Roman"/>
          <w:sz w:val="24"/>
        </w:rPr>
      </w:pPr>
    </w:p>
    <w:p w:rsidR="00464A29" w:rsidRDefault="00464A29" w:rsidP="007F7802">
      <w:pPr>
        <w:spacing w:after="120"/>
        <w:ind w:firstLine="709"/>
        <w:jc w:val="both"/>
        <w:rPr>
          <w:rFonts w:ascii="Times New Roman" w:hAnsi="Times New Roman"/>
          <w:sz w:val="24"/>
        </w:rPr>
      </w:pPr>
    </w:p>
    <w:p w:rsidR="00464A29" w:rsidRDefault="00464A29" w:rsidP="007F7802">
      <w:pPr>
        <w:spacing w:after="120"/>
        <w:ind w:firstLine="709"/>
        <w:jc w:val="both"/>
        <w:rPr>
          <w:rFonts w:ascii="Times New Roman" w:hAnsi="Times New Roman"/>
          <w:sz w:val="24"/>
        </w:rPr>
      </w:pPr>
    </w:p>
    <w:p w:rsidR="00464A29" w:rsidRDefault="00464A29" w:rsidP="005F5211">
      <w:pPr>
        <w:pStyle w:val="ListParagraph"/>
        <w:spacing w:after="0"/>
        <w:rPr>
          <w:rFonts w:ascii="Times New Roman" w:hAnsi="Times New Roman"/>
          <w:b/>
          <w:sz w:val="24"/>
        </w:rPr>
      </w:pPr>
    </w:p>
    <w:p w:rsidR="00464A29" w:rsidRPr="00777F6C" w:rsidRDefault="00464A29" w:rsidP="005F5211">
      <w:pPr>
        <w:pStyle w:val="ListParagraph"/>
        <w:spacing w:after="0"/>
        <w:rPr>
          <w:rFonts w:ascii="Times New Roman" w:hAnsi="Times New Roman"/>
          <w:b/>
          <w:sz w:val="24"/>
        </w:rPr>
      </w:pPr>
      <w:r w:rsidRPr="00777F6C">
        <w:rPr>
          <w:rFonts w:ascii="Times New Roman" w:hAnsi="Times New Roman"/>
          <w:b/>
          <w:sz w:val="24"/>
        </w:rPr>
        <w:tab/>
      </w:r>
      <w:r w:rsidRPr="00777F6C">
        <w:rPr>
          <w:rFonts w:ascii="Times New Roman" w:hAnsi="Times New Roman"/>
          <w:b/>
          <w:sz w:val="24"/>
        </w:rPr>
        <w:tab/>
      </w:r>
      <w:r w:rsidRPr="00777F6C">
        <w:rPr>
          <w:rFonts w:ascii="Times New Roman" w:hAnsi="Times New Roman"/>
          <w:b/>
          <w:sz w:val="24"/>
        </w:rPr>
        <w:tab/>
      </w:r>
      <w:r w:rsidRPr="00777F6C">
        <w:rPr>
          <w:rFonts w:ascii="Times New Roman" w:hAnsi="Times New Roman"/>
          <w:b/>
          <w:sz w:val="24"/>
        </w:rPr>
        <w:tab/>
      </w:r>
      <w:r w:rsidRPr="00777F6C">
        <w:rPr>
          <w:rFonts w:ascii="Times New Roman" w:hAnsi="Times New Roman"/>
          <w:b/>
          <w:sz w:val="24"/>
        </w:rPr>
        <w:tab/>
      </w:r>
      <w:r w:rsidRPr="00777F6C">
        <w:rPr>
          <w:rFonts w:ascii="Times New Roman" w:hAnsi="Times New Roman"/>
          <w:b/>
          <w:sz w:val="24"/>
        </w:rPr>
        <w:tab/>
      </w:r>
      <w:r w:rsidRPr="00777F6C">
        <w:rPr>
          <w:rFonts w:ascii="Times New Roman" w:hAnsi="Times New Roman"/>
          <w:b/>
          <w:sz w:val="24"/>
        </w:rPr>
        <w:tab/>
      </w:r>
      <w:r w:rsidRPr="00777F6C">
        <w:rPr>
          <w:rFonts w:ascii="Times New Roman" w:hAnsi="Times New Roman"/>
          <w:b/>
          <w:sz w:val="24"/>
        </w:rPr>
        <w:tab/>
      </w:r>
      <w:r w:rsidRPr="00777F6C">
        <w:rPr>
          <w:rFonts w:ascii="Times New Roman" w:hAnsi="Times New Roman"/>
          <w:b/>
          <w:sz w:val="24"/>
        </w:rPr>
        <w:tab/>
        <w:t>Příloha 3</w:t>
      </w:r>
    </w:p>
    <w:p w:rsidR="00464A29" w:rsidRPr="00777F6C" w:rsidRDefault="00464A29" w:rsidP="00777F6C">
      <w:pPr>
        <w:pStyle w:val="Heading1"/>
        <w:jc w:val="center"/>
        <w:rPr>
          <w:rFonts w:ascii="Times New Roman" w:hAnsi="Times New Roman"/>
          <w:color w:val="auto"/>
          <w:sz w:val="28"/>
        </w:rPr>
      </w:pPr>
      <w:bookmarkStart w:id="7" w:name="_Toc380057469"/>
      <w:r w:rsidRPr="00777F6C">
        <w:rPr>
          <w:rFonts w:ascii="Times New Roman" w:hAnsi="Times New Roman"/>
          <w:color w:val="auto"/>
          <w:sz w:val="28"/>
        </w:rPr>
        <w:t>Licenční požadavky resortu na APV a jeho dodavatele</w:t>
      </w:r>
      <w:bookmarkEnd w:id="7"/>
    </w:p>
    <w:p w:rsidR="00464A29" w:rsidRDefault="00464A29" w:rsidP="005F5211">
      <w:pPr>
        <w:spacing w:after="0"/>
      </w:pPr>
    </w:p>
    <w:p w:rsidR="00464A29" w:rsidRDefault="00464A29" w:rsidP="00263FD2">
      <w:pPr>
        <w:pStyle w:val="ListParagraph"/>
        <w:numPr>
          <w:ilvl w:val="0"/>
          <w:numId w:val="7"/>
        </w:numPr>
        <w:spacing w:after="0"/>
        <w:ind w:left="10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resort MO musí přejít úplné vlastnictví APV (modulů APV) tak, že resort se stane vykonavatelem majetkových práv k tomuto APV jako jeho objednavatel na základě smlouvy o dílo podle § 58 odst. 7 autorského zákona. Dodavatel (autor díla) může podle § 61 odst. 2 autorského zákona </w:t>
      </w:r>
      <w:r w:rsidRPr="00554113">
        <w:rPr>
          <w:rFonts w:ascii="Times New Roman" w:hAnsi="Times New Roman"/>
          <w:sz w:val="24"/>
        </w:rPr>
        <w:t>dílo vytvořené na objednávku užít a poskytnout licenci jinému, není-li to v rozporu s oprávněnými zájmy objednatele</w:t>
      </w:r>
      <w:r>
        <w:rPr>
          <w:rFonts w:ascii="Times New Roman" w:hAnsi="Times New Roman"/>
          <w:sz w:val="24"/>
        </w:rPr>
        <w:t xml:space="preserve"> (resortu MO).</w:t>
      </w:r>
    </w:p>
    <w:p w:rsidR="00464A29" w:rsidRDefault="00464A29" w:rsidP="00263FD2">
      <w:pPr>
        <w:pStyle w:val="ListParagraph"/>
        <w:numPr>
          <w:ilvl w:val="0"/>
          <w:numId w:val="7"/>
        </w:numPr>
        <w:spacing w:after="0"/>
        <w:ind w:left="10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Dodavatel musí také resortu MO postoupit výkon svého práva autorského k databázi APV jako soubornému dílu podle autorského zákona (ke struktuře databáze, ne k jejímu obsahu) v rozsahu, které resortu umožní   APV dále aktualizovat, modifikovat, upravovat a rozvíjet na základě řádného otevřeného výběrového řízení dle platného zákona o veřejných zakázkách.</w:t>
      </w:r>
    </w:p>
    <w:p w:rsidR="00464A29" w:rsidRDefault="00464A29" w:rsidP="00263FD2">
      <w:pPr>
        <w:pStyle w:val="ListParagraph"/>
        <w:numPr>
          <w:ilvl w:val="0"/>
          <w:numId w:val="7"/>
        </w:numPr>
        <w:spacing w:after="0"/>
        <w:ind w:left="10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Kromě toho musí dodavatel resortu MO garantovat zvláštní práva pořizovatele databáze nad obsahem databáze, na které má zákonný nárok. Podle § 90, odst. 1 autorského zákona je to právo </w:t>
      </w:r>
      <w:r w:rsidRPr="00AB1A0E">
        <w:rPr>
          <w:rFonts w:ascii="Times New Roman" w:hAnsi="Times New Roman"/>
          <w:sz w:val="24"/>
        </w:rPr>
        <w:t>vytěžování nebo zužitkování celého obsahu databáze nebo její kvalitativně nebo kvantitativně podstatné části a právo udělit jinému oprávnění k výkonu tohoto práva.</w:t>
      </w:r>
    </w:p>
    <w:p w:rsidR="00464A29" w:rsidRDefault="00464A29" w:rsidP="005F5211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Všechna tato práva musí být garantována </w:t>
      </w:r>
      <w:r w:rsidRPr="00080E24">
        <w:rPr>
          <w:rFonts w:ascii="Times New Roman" w:hAnsi="Times New Roman"/>
          <w:sz w:val="24"/>
        </w:rPr>
        <w:t xml:space="preserve">licenčním ujednáním </w:t>
      </w:r>
      <w:r>
        <w:rPr>
          <w:rFonts w:ascii="Times New Roman" w:hAnsi="Times New Roman"/>
          <w:sz w:val="24"/>
        </w:rPr>
        <w:t>v smlouvě s dodavatelem.</w:t>
      </w:r>
    </w:p>
    <w:p w:rsidR="00464A29" w:rsidRDefault="00464A29" w:rsidP="005F5211">
      <w:pPr>
        <w:pStyle w:val="ListParagraph"/>
        <w:spacing w:after="0"/>
        <w:rPr>
          <w:rFonts w:ascii="Times New Roman" w:hAnsi="Times New Roman"/>
          <w:b/>
          <w:sz w:val="24"/>
        </w:rPr>
      </w:pPr>
    </w:p>
    <w:p w:rsidR="00464A29" w:rsidRDefault="00464A29" w:rsidP="007F7802">
      <w:pPr>
        <w:spacing w:after="120"/>
        <w:ind w:firstLine="709"/>
        <w:jc w:val="both"/>
        <w:rPr>
          <w:rFonts w:ascii="Times New Roman" w:hAnsi="Times New Roman"/>
          <w:b/>
          <w:sz w:val="24"/>
        </w:rPr>
      </w:pPr>
    </w:p>
    <w:p w:rsidR="00464A29" w:rsidRDefault="00464A29" w:rsidP="007F7802">
      <w:pPr>
        <w:spacing w:after="120"/>
        <w:ind w:firstLine="709"/>
        <w:jc w:val="both"/>
        <w:rPr>
          <w:rFonts w:ascii="Times New Roman" w:hAnsi="Times New Roman"/>
          <w:b/>
          <w:sz w:val="24"/>
        </w:rPr>
      </w:pPr>
    </w:p>
    <w:p w:rsidR="00464A29" w:rsidRDefault="00464A29" w:rsidP="007F7802">
      <w:pPr>
        <w:spacing w:after="120"/>
        <w:ind w:firstLine="709"/>
        <w:jc w:val="both"/>
        <w:rPr>
          <w:rFonts w:ascii="Times New Roman" w:hAnsi="Times New Roman"/>
          <w:b/>
          <w:sz w:val="24"/>
        </w:rPr>
      </w:pPr>
    </w:p>
    <w:p w:rsidR="00464A29" w:rsidRPr="00777F6C" w:rsidRDefault="00464A29" w:rsidP="00777F6C">
      <w:pPr>
        <w:rPr>
          <w:rFonts w:ascii="Times New Roman" w:hAnsi="Times New Roman"/>
          <w:b/>
          <w:sz w:val="24"/>
          <w:szCs w:val="24"/>
        </w:rPr>
      </w:pPr>
      <w:r>
        <w:rPr>
          <w:b/>
        </w:rPr>
        <w:br w:type="page"/>
      </w:r>
      <w:r w:rsidRPr="00777F6C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777F6C">
        <w:rPr>
          <w:rFonts w:ascii="Times New Roman" w:hAnsi="Times New Roman"/>
          <w:b/>
          <w:sz w:val="24"/>
          <w:szCs w:val="24"/>
        </w:rPr>
        <w:tab/>
      </w:r>
      <w:r w:rsidRPr="00777F6C">
        <w:rPr>
          <w:rFonts w:ascii="Times New Roman" w:hAnsi="Times New Roman"/>
          <w:b/>
          <w:sz w:val="24"/>
          <w:szCs w:val="24"/>
        </w:rPr>
        <w:tab/>
      </w:r>
      <w:r w:rsidRPr="00777F6C">
        <w:rPr>
          <w:rFonts w:ascii="Times New Roman" w:hAnsi="Times New Roman"/>
          <w:b/>
          <w:sz w:val="24"/>
          <w:szCs w:val="24"/>
        </w:rPr>
        <w:tab/>
      </w:r>
      <w:r w:rsidRPr="00777F6C">
        <w:rPr>
          <w:rFonts w:ascii="Times New Roman" w:hAnsi="Times New Roman"/>
          <w:b/>
          <w:sz w:val="24"/>
          <w:szCs w:val="24"/>
        </w:rPr>
        <w:tab/>
      </w:r>
      <w:r w:rsidRPr="00777F6C">
        <w:rPr>
          <w:rFonts w:ascii="Times New Roman" w:hAnsi="Times New Roman"/>
          <w:b/>
          <w:sz w:val="24"/>
          <w:szCs w:val="24"/>
        </w:rPr>
        <w:tab/>
      </w:r>
      <w:r w:rsidRPr="00777F6C">
        <w:rPr>
          <w:rFonts w:ascii="Times New Roman" w:hAnsi="Times New Roman"/>
          <w:b/>
          <w:sz w:val="24"/>
          <w:szCs w:val="24"/>
        </w:rPr>
        <w:tab/>
      </w:r>
      <w:r w:rsidRPr="00777F6C">
        <w:rPr>
          <w:rFonts w:ascii="Times New Roman" w:hAnsi="Times New Roman"/>
          <w:b/>
          <w:sz w:val="24"/>
          <w:szCs w:val="24"/>
        </w:rPr>
        <w:tab/>
      </w:r>
      <w:r w:rsidRPr="00777F6C">
        <w:rPr>
          <w:rFonts w:ascii="Times New Roman" w:hAnsi="Times New Roman"/>
          <w:b/>
          <w:sz w:val="24"/>
          <w:szCs w:val="24"/>
        </w:rPr>
        <w:tab/>
        <w:t>Příloha 4</w:t>
      </w:r>
    </w:p>
    <w:p w:rsidR="00464A29" w:rsidRDefault="00464A29" w:rsidP="007F7802">
      <w:pPr>
        <w:spacing w:after="120"/>
        <w:ind w:firstLine="709"/>
        <w:jc w:val="both"/>
        <w:rPr>
          <w:rFonts w:ascii="Times New Roman" w:hAnsi="Times New Roman"/>
          <w:b/>
          <w:sz w:val="24"/>
        </w:rPr>
      </w:pPr>
    </w:p>
    <w:p w:rsidR="00464A29" w:rsidRPr="00777F6C" w:rsidRDefault="00464A29" w:rsidP="006820AB">
      <w:pPr>
        <w:pStyle w:val="Heading1"/>
        <w:jc w:val="center"/>
        <w:rPr>
          <w:color w:val="auto"/>
          <w:sz w:val="28"/>
        </w:rPr>
      </w:pPr>
      <w:r w:rsidRPr="00777F6C">
        <w:rPr>
          <w:color w:val="auto"/>
          <w:sz w:val="28"/>
        </w:rPr>
        <w:t>Základní podklady pro kalkulace</w:t>
      </w:r>
    </w:p>
    <w:p w:rsidR="00464A29" w:rsidRDefault="00464A29" w:rsidP="006820AB">
      <w:pPr>
        <w:spacing w:after="120"/>
        <w:jc w:val="center"/>
        <w:rPr>
          <w:rFonts w:ascii="Times New Roman" w:hAnsi="Times New Roman"/>
          <w:b/>
          <w:sz w:val="24"/>
        </w:rPr>
      </w:pPr>
    </w:p>
    <w:p w:rsidR="00464A29" w:rsidRDefault="00464A29" w:rsidP="006820AB">
      <w:pPr>
        <w:spacing w:after="12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 integraci stávajících resortních APV (metodou BLACK BOX)</w:t>
      </w:r>
    </w:p>
    <w:p w:rsidR="00464A29" w:rsidRDefault="00464A29" w:rsidP="006820AB">
      <w:pPr>
        <w:spacing w:after="12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nebo dodávce nového proprietárního integrovaného APV (metodou INSIDE BOX)</w:t>
      </w:r>
    </w:p>
    <w:p w:rsidR="00464A29" w:rsidRDefault="00464A29" w:rsidP="00606A62">
      <w:pPr>
        <w:pStyle w:val="FootnoteText"/>
      </w:pPr>
    </w:p>
    <w:p w:rsidR="00464A29" w:rsidRDefault="00464A29" w:rsidP="006820AB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Pr="006820AB">
        <w:rPr>
          <w:rFonts w:ascii="Times New Roman" w:hAnsi="Times New Roman"/>
          <w:sz w:val="24"/>
        </w:rPr>
        <w:t xml:space="preserve">ro </w:t>
      </w:r>
      <w:r>
        <w:rPr>
          <w:rFonts w:ascii="Times New Roman" w:hAnsi="Times New Roman"/>
          <w:sz w:val="24"/>
        </w:rPr>
        <w:t xml:space="preserve">požadované hrubé </w:t>
      </w:r>
      <w:r w:rsidRPr="006820AB">
        <w:rPr>
          <w:rFonts w:ascii="Times New Roman" w:hAnsi="Times New Roman"/>
          <w:sz w:val="24"/>
        </w:rPr>
        <w:t>kalkulac</w:t>
      </w:r>
      <w:r>
        <w:rPr>
          <w:rFonts w:ascii="Times New Roman" w:hAnsi="Times New Roman"/>
          <w:sz w:val="24"/>
        </w:rPr>
        <w:t>e</w:t>
      </w:r>
      <w:r w:rsidRPr="006820A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požadujeme vycházet z modelového příkladu s následujícím parametry:</w:t>
      </w:r>
    </w:p>
    <w:p w:rsidR="00464A29" w:rsidRDefault="00464A29" w:rsidP="006820AB">
      <w:pPr>
        <w:pStyle w:val="ListParagraph"/>
        <w:numPr>
          <w:ilvl w:val="0"/>
          <w:numId w:val="45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integrační platforma: SOA,</w:t>
      </w:r>
    </w:p>
    <w:p w:rsidR="00464A29" w:rsidRDefault="00464A29" w:rsidP="006820AB">
      <w:pPr>
        <w:pStyle w:val="ListParagraph"/>
        <w:numPr>
          <w:ilvl w:val="0"/>
          <w:numId w:val="45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integrační standardy a SW produkty: otevřené průmyslové standardy (W3C a OASIS) a otevřené průmyslové SW produkty,</w:t>
      </w:r>
    </w:p>
    <w:p w:rsidR="00464A29" w:rsidRDefault="00464A29" w:rsidP="006820AB">
      <w:pPr>
        <w:pStyle w:val="ListParagraph"/>
        <w:numPr>
          <w:ilvl w:val="0"/>
          <w:numId w:val="45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integrační infrastruktura: dvě datová centra,</w:t>
      </w:r>
    </w:p>
    <w:p w:rsidR="00464A29" w:rsidRDefault="00464A29" w:rsidP="006820AB">
      <w:pPr>
        <w:pStyle w:val="ListParagraph"/>
        <w:numPr>
          <w:ilvl w:val="0"/>
          <w:numId w:val="45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bezpečnostní architektura: rozdělená na neutajovanou část a utajovanou část (stupeň Vyhrazené),</w:t>
      </w:r>
    </w:p>
    <w:p w:rsidR="00464A29" w:rsidRDefault="00464A29" w:rsidP="006820AB">
      <w:pPr>
        <w:pStyle w:val="ListParagraph"/>
        <w:numPr>
          <w:ilvl w:val="0"/>
          <w:numId w:val="45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rozsah APV: pro velký podnik, cca 15 000 uživatelů,</w:t>
      </w:r>
    </w:p>
    <w:p w:rsidR="00464A29" w:rsidRDefault="00464A29" w:rsidP="006820AB">
      <w:pPr>
        <w:pStyle w:val="ListParagraph"/>
        <w:numPr>
          <w:ilvl w:val="0"/>
          <w:numId w:val="45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funkční rozsah APV: pro řízení zdrojů:</w:t>
      </w:r>
    </w:p>
    <w:p w:rsidR="00464A29" w:rsidRDefault="00464A29" w:rsidP="00A11C53">
      <w:pPr>
        <w:pStyle w:val="ListParagraph"/>
        <w:numPr>
          <w:ilvl w:val="0"/>
          <w:numId w:val="46"/>
        </w:numPr>
        <w:spacing w:after="0"/>
        <w:jc w:val="both"/>
        <w:rPr>
          <w:rFonts w:ascii="Times New Roman" w:hAnsi="Times New Roman"/>
          <w:sz w:val="24"/>
        </w:rPr>
      </w:pPr>
      <w:r w:rsidRPr="00202BA6">
        <w:rPr>
          <w:rFonts w:ascii="Times New Roman" w:hAnsi="Times New Roman"/>
          <w:b/>
          <w:sz w:val="24"/>
        </w:rPr>
        <w:t>finanční informační systém</w:t>
      </w:r>
      <w:r>
        <w:rPr>
          <w:rFonts w:ascii="Times New Roman" w:hAnsi="Times New Roman"/>
          <w:sz w:val="24"/>
        </w:rPr>
        <w:t xml:space="preserve">: příprava a realizace státního rozpočtu, vedení podvojného účetnictví včetně napojení na IS MF ČR (IISSP, EDS/SMVS), výplata mezd, evidence a realizace zahraničních služebních cest, evidence a správa škod a pohledávek, podpora a realizace akvizičního procesu v souladu s legislativou, napojení na </w:t>
      </w:r>
      <w:r w:rsidRPr="00C56F88">
        <w:rPr>
          <w:rFonts w:ascii="Times New Roman" w:hAnsi="Times New Roman"/>
          <w:sz w:val="24"/>
        </w:rPr>
        <w:t>Informační systém základních registrů (ISZR)</w:t>
      </w:r>
      <w:r>
        <w:rPr>
          <w:rFonts w:ascii="Times New Roman" w:hAnsi="Times New Roman"/>
          <w:sz w:val="24"/>
        </w:rPr>
        <w:t xml:space="preserve"> a certifikační autority</w:t>
      </w:r>
      <w:bookmarkStart w:id="8" w:name="_GoBack"/>
      <w:bookmarkEnd w:id="8"/>
      <w:r>
        <w:rPr>
          <w:rFonts w:ascii="Times New Roman" w:hAnsi="Times New Roman"/>
          <w:sz w:val="24"/>
        </w:rPr>
        <w:t>.</w:t>
      </w:r>
    </w:p>
    <w:p w:rsidR="00464A29" w:rsidRPr="0061291D" w:rsidRDefault="00464A29" w:rsidP="001C7FD8">
      <w:pPr>
        <w:pStyle w:val="ListParagraphChar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70C2">
        <w:rPr>
          <w:rFonts w:ascii="Times New Roman" w:hAnsi="Times New Roman" w:cs="Times New Roman"/>
          <w:b/>
          <w:sz w:val="24"/>
          <w:szCs w:val="24"/>
        </w:rPr>
        <w:t>personální informační systém</w:t>
      </w:r>
      <w:r>
        <w:rPr>
          <w:rFonts w:ascii="Times New Roman" w:hAnsi="Times New Roman" w:cs="Times New Roman"/>
          <w:sz w:val="24"/>
          <w:szCs w:val="24"/>
        </w:rPr>
        <w:t>: pro kategorie personálu s rozdílnou legislativou (vojáci z povolání a občanští zaměstnanci</w:t>
      </w:r>
      <w:r>
        <w:t xml:space="preserve">, </w:t>
      </w:r>
      <w:r w:rsidRPr="0061291D">
        <w:rPr>
          <w:rFonts w:ascii="Times New Roman" w:hAnsi="Times New Roman" w:cs="Times New Roman"/>
          <w:sz w:val="24"/>
          <w:szCs w:val="24"/>
        </w:rPr>
        <w:t>zaměstnanci na dohodu o pracích konaných mimo pracovní poměr, uchazeči o povolání do služebního poměru VzP, aktivní zálohy a další)</w:t>
      </w:r>
    </w:p>
    <w:p w:rsidR="00464A29" w:rsidRDefault="00464A29" w:rsidP="001C7FD8">
      <w:pPr>
        <w:pStyle w:val="ListParagraphChar"/>
        <w:numPr>
          <w:ilvl w:val="1"/>
          <w:numId w:val="4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7AA3">
        <w:rPr>
          <w:rFonts w:ascii="Times New Roman" w:hAnsi="Times New Roman" w:cs="Times New Roman"/>
          <w:b/>
          <w:bCs/>
          <w:sz w:val="24"/>
          <w:szCs w:val="24"/>
        </w:rPr>
        <w:t>Systemizace</w:t>
      </w:r>
      <w:r>
        <w:rPr>
          <w:rFonts w:ascii="Times New Roman" w:hAnsi="Times New Roman" w:cs="Times New Roman"/>
          <w:sz w:val="24"/>
          <w:szCs w:val="24"/>
        </w:rPr>
        <w:t xml:space="preserve"> – přebírání organizačních tabulek počtů z ISMP (příslušné APV) a tvorba personálních tabulek počtů</w:t>
      </w:r>
    </w:p>
    <w:p w:rsidR="00464A29" w:rsidRDefault="00464A29" w:rsidP="001C7FD8">
      <w:pPr>
        <w:pStyle w:val="ListParagraphChar"/>
        <w:numPr>
          <w:ilvl w:val="1"/>
          <w:numId w:val="4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Katalog systemizovaných míst </w:t>
      </w:r>
      <w:r>
        <w:rPr>
          <w:rFonts w:ascii="Times New Roman" w:hAnsi="Times New Roman" w:cs="Times New Roman"/>
          <w:sz w:val="24"/>
          <w:szCs w:val="24"/>
        </w:rPr>
        <w:t>– tvorba katalogu</w:t>
      </w:r>
    </w:p>
    <w:p w:rsidR="00464A29" w:rsidRDefault="00464A29" w:rsidP="001C7FD8">
      <w:pPr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Osoba – </w:t>
      </w:r>
      <w:r w:rsidRPr="00867AA3">
        <w:rPr>
          <w:rFonts w:ascii="Times New Roman" w:hAnsi="Times New Roman"/>
          <w:sz w:val="24"/>
          <w:szCs w:val="24"/>
        </w:rPr>
        <w:t>personální procesy s</w:t>
      </w:r>
      <w:r>
        <w:rPr>
          <w:rFonts w:ascii="Times New Roman" w:hAnsi="Times New Roman"/>
          <w:sz w:val="24"/>
          <w:szCs w:val="24"/>
        </w:rPr>
        <w:t>e všemi typy zaměstnanců</w:t>
      </w:r>
    </w:p>
    <w:p w:rsidR="00464A29" w:rsidRDefault="00464A29" w:rsidP="001C7FD8">
      <w:pPr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Zpracování mzdových podkladů –</w:t>
      </w:r>
      <w:r>
        <w:rPr>
          <w:rFonts w:ascii="Times New Roman" w:hAnsi="Times New Roman"/>
          <w:sz w:val="24"/>
          <w:szCs w:val="24"/>
        </w:rPr>
        <w:t xml:space="preserve"> zadávání a aktualizace trvalých složek platů</w:t>
      </w:r>
    </w:p>
    <w:p w:rsidR="00464A29" w:rsidRPr="00867AA3" w:rsidRDefault="00464A29" w:rsidP="001C7FD8">
      <w:pPr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Příprava dokladů mezd </w:t>
      </w:r>
      <w:r>
        <w:rPr>
          <w:rFonts w:ascii="Times New Roman" w:hAnsi="Times New Roman"/>
          <w:sz w:val="24"/>
          <w:szCs w:val="24"/>
        </w:rPr>
        <w:t>–</w:t>
      </w:r>
      <w:r w:rsidRPr="00867AA3">
        <w:rPr>
          <w:rFonts w:ascii="Times New Roman" w:hAnsi="Times New Roman"/>
          <w:sz w:val="24"/>
          <w:szCs w:val="24"/>
        </w:rPr>
        <w:t xml:space="preserve"> pořizování měsíčních změn</w:t>
      </w:r>
    </w:p>
    <w:p w:rsidR="00464A29" w:rsidRPr="002E7CC7" w:rsidRDefault="00464A29" w:rsidP="001C7FD8">
      <w:pPr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Práce a mzdy (PAM) – </w:t>
      </w:r>
      <w:r w:rsidRPr="00867AA3">
        <w:rPr>
          <w:rFonts w:ascii="Times New Roman" w:hAnsi="Times New Roman"/>
          <w:sz w:val="24"/>
          <w:szCs w:val="24"/>
        </w:rPr>
        <w:t>komplex činností souvisejících s</w:t>
      </w:r>
      <w:r>
        <w:rPr>
          <w:rFonts w:ascii="Times New Roman" w:hAnsi="Times New Roman"/>
          <w:sz w:val="24"/>
          <w:szCs w:val="24"/>
        </w:rPr>
        <w:t> </w:t>
      </w:r>
      <w:r w:rsidRPr="00867AA3">
        <w:rPr>
          <w:rFonts w:ascii="Times New Roman" w:hAnsi="Times New Roman"/>
          <w:sz w:val="24"/>
          <w:szCs w:val="24"/>
        </w:rPr>
        <w:t xml:space="preserve">výplatou </w:t>
      </w:r>
      <w:r>
        <w:rPr>
          <w:rFonts w:ascii="Times New Roman" w:hAnsi="Times New Roman"/>
          <w:sz w:val="24"/>
          <w:szCs w:val="24"/>
        </w:rPr>
        <w:t xml:space="preserve">platu </w:t>
      </w:r>
      <w:r w:rsidRPr="00867AA3">
        <w:rPr>
          <w:rFonts w:ascii="Times New Roman" w:hAnsi="Times New Roman"/>
          <w:sz w:val="24"/>
          <w:szCs w:val="24"/>
        </w:rPr>
        <w:t>vše</w:t>
      </w:r>
      <w:r>
        <w:rPr>
          <w:rFonts w:ascii="Times New Roman" w:hAnsi="Times New Roman"/>
          <w:sz w:val="24"/>
          <w:szCs w:val="24"/>
        </w:rPr>
        <w:t>m</w:t>
      </w:r>
      <w:r w:rsidRPr="00867AA3">
        <w:rPr>
          <w:rFonts w:ascii="Times New Roman" w:hAnsi="Times New Roman"/>
          <w:sz w:val="24"/>
          <w:szCs w:val="24"/>
        </w:rPr>
        <w:t xml:space="preserve"> zaměstnanců</w:t>
      </w:r>
      <w:r>
        <w:rPr>
          <w:rFonts w:ascii="Times New Roman" w:hAnsi="Times New Roman"/>
          <w:sz w:val="24"/>
          <w:szCs w:val="24"/>
        </w:rPr>
        <w:t xml:space="preserve"> na základě pracovněprávního nebo služebněprávního vztahu</w:t>
      </w:r>
    </w:p>
    <w:p w:rsidR="00464A29" w:rsidRPr="00867AA3" w:rsidRDefault="00464A29" w:rsidP="001C7FD8">
      <w:pPr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Bankovní účetní centrum – </w:t>
      </w:r>
      <w:r w:rsidRPr="00867AA3">
        <w:rPr>
          <w:rFonts w:ascii="Times New Roman" w:hAnsi="Times New Roman"/>
          <w:sz w:val="24"/>
          <w:szCs w:val="24"/>
        </w:rPr>
        <w:t>komunikace s bankami</w:t>
      </w:r>
    </w:p>
    <w:p w:rsidR="00464A29" w:rsidRPr="00867AA3" w:rsidRDefault="00464A29" w:rsidP="001C7FD8">
      <w:pPr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Platové přehledy a statistiky – </w:t>
      </w:r>
      <w:r w:rsidRPr="00867AA3">
        <w:rPr>
          <w:rFonts w:ascii="Times New Roman" w:hAnsi="Times New Roman"/>
          <w:sz w:val="24"/>
          <w:szCs w:val="24"/>
        </w:rPr>
        <w:t>výstupy</w:t>
      </w:r>
      <w:r>
        <w:rPr>
          <w:rFonts w:ascii="Times New Roman" w:hAnsi="Times New Roman"/>
          <w:sz w:val="24"/>
          <w:szCs w:val="24"/>
        </w:rPr>
        <w:t xml:space="preserve"> a informace z PAM</w:t>
      </w:r>
    </w:p>
    <w:p w:rsidR="00464A29" w:rsidRPr="002E7CC7" w:rsidRDefault="00464A29" w:rsidP="001C7FD8">
      <w:pPr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67AA3">
        <w:rPr>
          <w:rFonts w:ascii="Times New Roman" w:hAnsi="Times New Roman"/>
          <w:b/>
          <w:bCs/>
          <w:sz w:val="24"/>
          <w:szCs w:val="24"/>
        </w:rPr>
        <w:t>Evidence a výplata částek</w:t>
      </w:r>
      <w:r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Pr="00867AA3">
        <w:rPr>
          <w:rFonts w:ascii="Times New Roman" w:hAnsi="Times New Roman"/>
          <w:sz w:val="24"/>
          <w:szCs w:val="24"/>
        </w:rPr>
        <w:t>realizace náhrad</w:t>
      </w:r>
      <w:r>
        <w:rPr>
          <w:rFonts w:ascii="Times New Roman" w:hAnsi="Times New Roman"/>
          <w:sz w:val="24"/>
          <w:szCs w:val="24"/>
        </w:rPr>
        <w:t xml:space="preserve"> dalším osobám mimo PAM</w:t>
      </w:r>
    </w:p>
    <w:p w:rsidR="00464A29" w:rsidRPr="00867AA3" w:rsidRDefault="00464A29" w:rsidP="001C7FD8">
      <w:pPr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Číselníky – </w:t>
      </w:r>
      <w:r w:rsidRPr="00867AA3">
        <w:rPr>
          <w:rFonts w:ascii="Times New Roman" w:hAnsi="Times New Roman"/>
          <w:sz w:val="24"/>
          <w:szCs w:val="24"/>
        </w:rPr>
        <w:t xml:space="preserve">centrální správa a aktualizace číselníků </w:t>
      </w:r>
      <w:r>
        <w:rPr>
          <w:rFonts w:ascii="Times New Roman" w:hAnsi="Times New Roman"/>
          <w:sz w:val="24"/>
          <w:szCs w:val="24"/>
        </w:rPr>
        <w:t>personálního informačního systému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64A29" w:rsidRPr="00867AA3" w:rsidRDefault="00464A29" w:rsidP="001C7FD8">
      <w:pPr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Průkazy –</w:t>
      </w:r>
      <w:r>
        <w:rPr>
          <w:rFonts w:ascii="Times New Roman" w:hAnsi="Times New Roman"/>
          <w:sz w:val="24"/>
          <w:szCs w:val="24"/>
        </w:rPr>
        <w:t xml:space="preserve"> linka na tvorbu a tisk vojenských průkazů</w:t>
      </w:r>
    </w:p>
    <w:p w:rsidR="00464A29" w:rsidRDefault="00464A29" w:rsidP="001C7FD8">
      <w:pPr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moduly </w:t>
      </w:r>
      <w:r w:rsidRPr="00867AA3">
        <w:rPr>
          <w:rFonts w:ascii="Times New Roman" w:hAnsi="Times New Roman"/>
          <w:b/>
          <w:bCs/>
          <w:sz w:val="24"/>
          <w:szCs w:val="24"/>
        </w:rPr>
        <w:t>Vzdělávání, Hodnocení, Návrhář</w:t>
      </w:r>
      <w:r>
        <w:rPr>
          <w:rFonts w:ascii="Times New Roman" w:hAnsi="Times New Roman"/>
          <w:b/>
          <w:bCs/>
          <w:sz w:val="24"/>
          <w:szCs w:val="24"/>
        </w:rPr>
        <w:t>, Manažer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1291D">
        <w:rPr>
          <w:rFonts w:ascii="Times New Roman" w:hAnsi="Times New Roman"/>
          <w:b/>
          <w:bCs/>
          <w:sz w:val="24"/>
          <w:szCs w:val="24"/>
        </w:rPr>
        <w:t>Elektronická podpisová kniha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867AA3">
        <w:rPr>
          <w:rFonts w:ascii="Times New Roman" w:hAnsi="Times New Roman"/>
          <w:sz w:val="24"/>
          <w:szCs w:val="24"/>
        </w:rPr>
        <w:t>další</w:t>
      </w:r>
      <w:r>
        <w:rPr>
          <w:rFonts w:ascii="Times New Roman" w:hAnsi="Times New Roman"/>
          <w:sz w:val="24"/>
          <w:szCs w:val="24"/>
        </w:rPr>
        <w:t>.</w:t>
      </w:r>
    </w:p>
    <w:p w:rsidR="00464A29" w:rsidRPr="001C7FD8" w:rsidRDefault="00464A29" w:rsidP="00285A1F">
      <w:pPr>
        <w:pStyle w:val="ListParagraph"/>
        <w:numPr>
          <w:ilvl w:val="0"/>
          <w:numId w:val="46"/>
        </w:numPr>
        <w:spacing w:after="0"/>
        <w:jc w:val="both"/>
        <w:rPr>
          <w:rFonts w:ascii="Times New Roman" w:hAnsi="Times New Roman"/>
          <w:b/>
          <w:sz w:val="24"/>
        </w:rPr>
      </w:pPr>
      <w:r w:rsidRPr="001C7FD8">
        <w:rPr>
          <w:rFonts w:ascii="Times New Roman" w:hAnsi="Times New Roman"/>
          <w:b/>
          <w:sz w:val="24"/>
        </w:rPr>
        <w:t>informační systém logistiky:</w:t>
      </w:r>
    </w:p>
    <w:p w:rsidR="00464A29" w:rsidRPr="00F43367" w:rsidRDefault="00464A29" w:rsidP="00F43367">
      <w:pPr>
        <w:pStyle w:val="ListParagraph"/>
        <w:numPr>
          <w:ilvl w:val="1"/>
          <w:numId w:val="46"/>
        </w:numPr>
        <w:spacing w:after="0"/>
        <w:jc w:val="both"/>
        <w:rPr>
          <w:rFonts w:ascii="Times New Roman" w:hAnsi="Times New Roman"/>
          <w:sz w:val="24"/>
        </w:rPr>
      </w:pPr>
      <w:r w:rsidRPr="00F43367">
        <w:rPr>
          <w:rFonts w:ascii="Times New Roman" w:hAnsi="Times New Roman"/>
          <w:b/>
          <w:bCs/>
          <w:sz w:val="24"/>
        </w:rPr>
        <w:t xml:space="preserve">Řízení logistiky </w:t>
      </w:r>
      <w:r w:rsidRPr="00F43367">
        <w:rPr>
          <w:rFonts w:ascii="Times New Roman" w:hAnsi="Times New Roman"/>
          <w:sz w:val="24"/>
        </w:rPr>
        <w:t>– přehled o organizační struktuře rezortu a jeho logistických potřebách, řízení logistické podpory jednotek v misích NATO a řízení věcných zdrojů při krizových stavech státu.</w:t>
      </w:r>
      <w:r w:rsidRPr="00F43367">
        <w:rPr>
          <w:rFonts w:ascii="Times New Roman" w:hAnsi="Times New Roman"/>
          <w:b/>
          <w:bCs/>
          <w:sz w:val="24"/>
        </w:rPr>
        <w:t xml:space="preserve"> </w:t>
      </w:r>
    </w:p>
    <w:p w:rsidR="00464A29" w:rsidRPr="00F43367" w:rsidRDefault="00464A29" w:rsidP="00F43367">
      <w:pPr>
        <w:pStyle w:val="ListParagraph"/>
        <w:numPr>
          <w:ilvl w:val="1"/>
          <w:numId w:val="46"/>
        </w:numPr>
        <w:spacing w:after="0"/>
        <w:jc w:val="both"/>
        <w:rPr>
          <w:rFonts w:ascii="Times New Roman" w:hAnsi="Times New Roman"/>
          <w:sz w:val="24"/>
        </w:rPr>
      </w:pPr>
      <w:r w:rsidRPr="00F43367">
        <w:rPr>
          <w:rFonts w:ascii="Times New Roman" w:hAnsi="Times New Roman"/>
          <w:b/>
          <w:bCs/>
          <w:sz w:val="24"/>
        </w:rPr>
        <w:t>Služby</w:t>
      </w:r>
      <w:r w:rsidRPr="00F43367">
        <w:rPr>
          <w:rFonts w:ascii="Times New Roman" w:hAnsi="Times New Roman"/>
          <w:sz w:val="24"/>
        </w:rPr>
        <w:t xml:space="preserve"> – Katalog služeb a evidence služeb, základní předpoklad pro vytvoření efektivního sy</w:t>
      </w:r>
      <w:r>
        <w:rPr>
          <w:rFonts w:ascii="Times New Roman" w:hAnsi="Times New Roman"/>
          <w:sz w:val="24"/>
        </w:rPr>
        <w:t>stému</w:t>
      </w:r>
      <w:r w:rsidRPr="00F43367">
        <w:rPr>
          <w:rFonts w:ascii="Times New Roman" w:hAnsi="Times New Roman"/>
          <w:sz w:val="24"/>
        </w:rPr>
        <w:t xml:space="preserve"> řízení služeb.</w:t>
      </w:r>
      <w:r w:rsidRPr="00F43367">
        <w:rPr>
          <w:rFonts w:ascii="Times New Roman" w:hAnsi="Times New Roman"/>
          <w:b/>
          <w:bCs/>
          <w:sz w:val="24"/>
        </w:rPr>
        <w:t xml:space="preserve"> </w:t>
      </w:r>
    </w:p>
    <w:p w:rsidR="00464A29" w:rsidRPr="00F43367" w:rsidRDefault="00464A29" w:rsidP="00F43367">
      <w:pPr>
        <w:pStyle w:val="ListParagraph"/>
        <w:numPr>
          <w:ilvl w:val="1"/>
          <w:numId w:val="46"/>
        </w:numPr>
        <w:spacing w:after="0"/>
        <w:jc w:val="both"/>
        <w:rPr>
          <w:rFonts w:ascii="Times New Roman" w:hAnsi="Times New Roman"/>
          <w:sz w:val="24"/>
        </w:rPr>
      </w:pPr>
      <w:r w:rsidRPr="00F43367">
        <w:rPr>
          <w:rFonts w:ascii="Times New Roman" w:hAnsi="Times New Roman"/>
          <w:b/>
          <w:bCs/>
          <w:sz w:val="24"/>
        </w:rPr>
        <w:t xml:space="preserve">Řízení </w:t>
      </w:r>
      <w:r>
        <w:rPr>
          <w:rFonts w:ascii="Times New Roman" w:hAnsi="Times New Roman"/>
          <w:b/>
          <w:bCs/>
          <w:sz w:val="24"/>
        </w:rPr>
        <w:t xml:space="preserve">zásob a </w:t>
      </w:r>
      <w:r w:rsidRPr="00F43367">
        <w:rPr>
          <w:rFonts w:ascii="Times New Roman" w:hAnsi="Times New Roman"/>
          <w:b/>
          <w:bCs/>
          <w:sz w:val="24"/>
        </w:rPr>
        <w:t>zásobování</w:t>
      </w:r>
      <w:r w:rsidRPr="00F43367">
        <w:rPr>
          <w:rFonts w:ascii="Times New Roman" w:hAnsi="Times New Roman"/>
          <w:sz w:val="24"/>
        </w:rPr>
        <w:t xml:space="preserve"> – katalogizace materiálu dle standardů NATO, jednotná evidence majetku, podpora střednědobého a krátkodobého plánování věcných zdrojů, řízení distribuce materiálu, podpora činností centrálních skladů, přesunů materiálu a vyřazování majetku po skončení jeho životnosti/potřebnosti.</w:t>
      </w:r>
      <w:r w:rsidRPr="00F43367">
        <w:rPr>
          <w:rFonts w:ascii="Times New Roman" w:hAnsi="Times New Roman"/>
          <w:b/>
          <w:bCs/>
          <w:sz w:val="24"/>
        </w:rPr>
        <w:t xml:space="preserve"> </w:t>
      </w:r>
    </w:p>
    <w:p w:rsidR="00464A29" w:rsidRPr="00F43367" w:rsidRDefault="00464A29" w:rsidP="00F43367">
      <w:pPr>
        <w:pStyle w:val="ListParagraph"/>
        <w:numPr>
          <w:ilvl w:val="1"/>
          <w:numId w:val="46"/>
        </w:numPr>
        <w:spacing w:after="0"/>
        <w:jc w:val="both"/>
        <w:rPr>
          <w:rFonts w:ascii="Times New Roman" w:hAnsi="Times New Roman"/>
          <w:sz w:val="24"/>
        </w:rPr>
      </w:pPr>
      <w:r w:rsidRPr="00F43367">
        <w:rPr>
          <w:rFonts w:ascii="Times New Roman" w:hAnsi="Times New Roman"/>
          <w:b/>
          <w:bCs/>
          <w:sz w:val="24"/>
        </w:rPr>
        <w:t>Údržba výzbroje a techniky</w:t>
      </w:r>
      <w:r w:rsidRPr="00F43367">
        <w:rPr>
          <w:rFonts w:ascii="Times New Roman" w:hAnsi="Times New Roman"/>
          <w:sz w:val="24"/>
        </w:rPr>
        <w:t xml:space="preserve"> – standardy pro provádění údržba a oprav, plánování provozu a opravy výzbroje a techniky a provádění údržby a oprav.</w:t>
      </w:r>
      <w:r w:rsidRPr="00F43367">
        <w:rPr>
          <w:rFonts w:ascii="Times New Roman" w:hAnsi="Times New Roman"/>
          <w:b/>
          <w:bCs/>
          <w:sz w:val="24"/>
        </w:rPr>
        <w:t xml:space="preserve"> </w:t>
      </w:r>
    </w:p>
    <w:p w:rsidR="00464A29" w:rsidRPr="00F43367" w:rsidRDefault="00464A29" w:rsidP="00F43367">
      <w:pPr>
        <w:pStyle w:val="ListParagraph"/>
        <w:numPr>
          <w:ilvl w:val="1"/>
          <w:numId w:val="46"/>
        </w:numPr>
        <w:spacing w:after="0"/>
        <w:jc w:val="both"/>
        <w:rPr>
          <w:rFonts w:ascii="Times New Roman" w:hAnsi="Times New Roman"/>
          <w:sz w:val="24"/>
        </w:rPr>
      </w:pPr>
      <w:r w:rsidRPr="00F43367">
        <w:rPr>
          <w:rFonts w:ascii="Times New Roman" w:hAnsi="Times New Roman"/>
          <w:b/>
          <w:bCs/>
          <w:sz w:val="24"/>
        </w:rPr>
        <w:t>Údržba letecké techniky</w:t>
      </w:r>
      <w:r w:rsidRPr="00F43367">
        <w:rPr>
          <w:rFonts w:ascii="Times New Roman" w:hAnsi="Times New Roman"/>
          <w:sz w:val="24"/>
        </w:rPr>
        <w:t xml:space="preserve"> – sledování provozu a údržby letecké techniky. </w:t>
      </w:r>
    </w:p>
    <w:p w:rsidR="00464A29" w:rsidRPr="00F43367" w:rsidRDefault="00464A29" w:rsidP="00F43367">
      <w:pPr>
        <w:pStyle w:val="ListParagraph"/>
        <w:numPr>
          <w:ilvl w:val="1"/>
          <w:numId w:val="46"/>
        </w:numPr>
        <w:spacing w:after="0"/>
        <w:jc w:val="both"/>
        <w:rPr>
          <w:rFonts w:ascii="Times New Roman" w:hAnsi="Times New Roman"/>
          <w:sz w:val="24"/>
        </w:rPr>
      </w:pPr>
      <w:r w:rsidRPr="00F43367">
        <w:rPr>
          <w:rFonts w:ascii="Times New Roman" w:hAnsi="Times New Roman"/>
          <w:b/>
          <w:bCs/>
          <w:sz w:val="24"/>
        </w:rPr>
        <w:t>Řízení dopravy</w:t>
      </w:r>
      <w:r w:rsidRPr="00F43367">
        <w:rPr>
          <w:rFonts w:ascii="Times New Roman" w:hAnsi="Times New Roman"/>
          <w:sz w:val="24"/>
        </w:rPr>
        <w:t xml:space="preserve"> –</w:t>
      </w:r>
      <w:r>
        <w:rPr>
          <w:rFonts w:ascii="Times New Roman" w:hAnsi="Times New Roman"/>
          <w:sz w:val="24"/>
        </w:rPr>
        <w:t xml:space="preserve"> </w:t>
      </w:r>
      <w:r w:rsidRPr="00F43367">
        <w:rPr>
          <w:rFonts w:ascii="Times New Roman" w:hAnsi="Times New Roman"/>
          <w:sz w:val="24"/>
        </w:rPr>
        <w:t>plánování, provádění, sledování a vyhodnocení přeprav materiálu a přesunů vojsk, sledování vybraných zásilek v rámci NATO.</w:t>
      </w:r>
      <w:r w:rsidRPr="00F43367">
        <w:rPr>
          <w:rFonts w:ascii="Times New Roman" w:hAnsi="Times New Roman"/>
          <w:b/>
          <w:bCs/>
          <w:sz w:val="24"/>
        </w:rPr>
        <w:t xml:space="preserve"> </w:t>
      </w:r>
    </w:p>
    <w:p w:rsidR="00464A29" w:rsidRPr="00F43367" w:rsidRDefault="00464A29" w:rsidP="00F43367">
      <w:pPr>
        <w:pStyle w:val="ListParagraph"/>
        <w:numPr>
          <w:ilvl w:val="1"/>
          <w:numId w:val="46"/>
        </w:numPr>
        <w:spacing w:after="0"/>
        <w:jc w:val="both"/>
        <w:rPr>
          <w:rFonts w:ascii="Times New Roman" w:hAnsi="Times New Roman"/>
          <w:sz w:val="24"/>
        </w:rPr>
      </w:pPr>
      <w:r w:rsidRPr="00F43367">
        <w:rPr>
          <w:rFonts w:ascii="Times New Roman" w:hAnsi="Times New Roman"/>
          <w:b/>
          <w:bCs/>
          <w:sz w:val="24"/>
        </w:rPr>
        <w:t>Řízení akvizice</w:t>
      </w:r>
      <w:r w:rsidRPr="00F43367">
        <w:rPr>
          <w:rFonts w:ascii="Times New Roman" w:hAnsi="Times New Roman"/>
          <w:sz w:val="24"/>
        </w:rPr>
        <w:t xml:space="preserve"> (komponenta Řízení odprodejů) – zákonné nakládání s nepotřebným majetkem rezortu (ukončení životního cyklu majetku/nepotřebnost).</w:t>
      </w:r>
      <w:r w:rsidRPr="00F43367">
        <w:rPr>
          <w:rFonts w:ascii="Times New Roman" w:hAnsi="Times New Roman"/>
          <w:b/>
          <w:bCs/>
          <w:sz w:val="24"/>
        </w:rPr>
        <w:t xml:space="preserve"> </w:t>
      </w:r>
    </w:p>
    <w:p w:rsidR="00464A29" w:rsidRPr="00F43367" w:rsidRDefault="00464A29" w:rsidP="00F43367">
      <w:pPr>
        <w:pStyle w:val="ListParagraph"/>
        <w:numPr>
          <w:ilvl w:val="1"/>
          <w:numId w:val="46"/>
        </w:numPr>
        <w:spacing w:after="0"/>
        <w:jc w:val="both"/>
        <w:rPr>
          <w:rFonts w:ascii="Times New Roman" w:hAnsi="Times New Roman"/>
          <w:sz w:val="24"/>
        </w:rPr>
      </w:pPr>
      <w:r w:rsidRPr="00F43367">
        <w:rPr>
          <w:rFonts w:ascii="Times New Roman" w:hAnsi="Times New Roman"/>
          <w:b/>
          <w:bCs/>
          <w:sz w:val="24"/>
        </w:rPr>
        <w:t>Správa majetku</w:t>
      </w:r>
      <w:r w:rsidRPr="00F43367">
        <w:rPr>
          <w:rFonts w:ascii="Times New Roman" w:hAnsi="Times New Roman"/>
          <w:sz w:val="24"/>
        </w:rPr>
        <w:t xml:space="preserve"> – komplexní evidence nemovitostí vojenské správy a informace na podporu provozu a oprav vojenských areálů, stavebních objektů a pozemků.</w:t>
      </w:r>
      <w:r w:rsidRPr="00F43367">
        <w:rPr>
          <w:rFonts w:ascii="Times New Roman" w:hAnsi="Times New Roman"/>
          <w:b/>
          <w:bCs/>
          <w:sz w:val="24"/>
        </w:rPr>
        <w:t xml:space="preserve"> </w:t>
      </w:r>
    </w:p>
    <w:p w:rsidR="00464A29" w:rsidRDefault="00464A29" w:rsidP="00F43367">
      <w:pPr>
        <w:pStyle w:val="ListParagraph"/>
        <w:numPr>
          <w:ilvl w:val="1"/>
          <w:numId w:val="46"/>
        </w:numPr>
        <w:spacing w:after="0"/>
        <w:jc w:val="both"/>
        <w:rPr>
          <w:rFonts w:ascii="Times New Roman" w:hAnsi="Times New Roman"/>
          <w:sz w:val="24"/>
        </w:rPr>
      </w:pPr>
      <w:r w:rsidRPr="00F43367">
        <w:rPr>
          <w:rFonts w:ascii="Times New Roman" w:hAnsi="Times New Roman"/>
          <w:b/>
          <w:bCs/>
          <w:sz w:val="24"/>
        </w:rPr>
        <w:t>Standardizace</w:t>
      </w:r>
      <w:r w:rsidRPr="00F4336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 w:rsidRPr="00F43367">
        <w:rPr>
          <w:rFonts w:ascii="Times New Roman" w:hAnsi="Times New Roman"/>
          <w:sz w:val="24"/>
        </w:rPr>
        <w:t xml:space="preserve"> podpora procesů obranné standardizace a zavádění jednotné terminologie</w:t>
      </w:r>
      <w:r>
        <w:rPr>
          <w:rFonts w:ascii="Times New Roman" w:hAnsi="Times New Roman"/>
          <w:sz w:val="24"/>
        </w:rPr>
        <w:t>.</w:t>
      </w:r>
    </w:p>
    <w:p w:rsidR="00464A29" w:rsidRPr="00F43367" w:rsidRDefault="00464A29" w:rsidP="00F43367">
      <w:pPr>
        <w:pStyle w:val="ListParagraph"/>
        <w:numPr>
          <w:ilvl w:val="1"/>
          <w:numId w:val="46"/>
        </w:numPr>
        <w:spacing w:after="0"/>
        <w:jc w:val="both"/>
        <w:rPr>
          <w:rFonts w:ascii="Times New Roman" w:hAnsi="Times New Roman"/>
          <w:sz w:val="24"/>
        </w:rPr>
      </w:pPr>
      <w:r w:rsidRPr="00F43367">
        <w:rPr>
          <w:rFonts w:ascii="Times New Roman" w:hAnsi="Times New Roman"/>
          <w:b/>
          <w:bCs/>
          <w:sz w:val="24"/>
        </w:rPr>
        <w:t>Centrální databáze projektů</w:t>
      </w:r>
      <w:r w:rsidRPr="00F4336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 w:rsidRPr="00F43367">
        <w:rPr>
          <w:rFonts w:ascii="Times New Roman" w:hAnsi="Times New Roman"/>
          <w:sz w:val="24"/>
        </w:rPr>
        <w:t xml:space="preserve"> podpora krátkodobého a střednědobého plánování cílů </w:t>
      </w:r>
      <w:r>
        <w:rPr>
          <w:rFonts w:ascii="Times New Roman" w:hAnsi="Times New Roman"/>
          <w:sz w:val="24"/>
        </w:rPr>
        <w:t>resortu obrany.</w:t>
      </w:r>
      <w:r w:rsidRPr="00F43367">
        <w:rPr>
          <w:rFonts w:ascii="Times New Roman" w:hAnsi="Times New Roman"/>
          <w:sz w:val="24"/>
          <w:lang w:val="en-US"/>
        </w:rPr>
        <w:t xml:space="preserve"> </w:t>
      </w:r>
    </w:p>
    <w:p w:rsidR="00464A29" w:rsidRDefault="00464A29" w:rsidP="00F43367">
      <w:pPr>
        <w:pStyle w:val="ListParagraph"/>
        <w:spacing w:after="0"/>
        <w:ind w:left="835"/>
        <w:jc w:val="both"/>
        <w:rPr>
          <w:rFonts w:ascii="Times New Roman" w:hAnsi="Times New Roman"/>
          <w:sz w:val="24"/>
        </w:rPr>
      </w:pPr>
    </w:p>
    <w:p w:rsidR="00464A29" w:rsidRDefault="00464A29" w:rsidP="003B0C0D">
      <w:pPr>
        <w:pStyle w:val="ListParagraph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</w:r>
    </w:p>
    <w:p w:rsidR="00464A29" w:rsidRDefault="00464A29" w:rsidP="007F7802">
      <w:pPr>
        <w:spacing w:after="120"/>
        <w:ind w:firstLine="709"/>
        <w:jc w:val="both"/>
        <w:rPr>
          <w:rFonts w:ascii="Times New Roman" w:hAnsi="Times New Roman"/>
          <w:b/>
          <w:sz w:val="24"/>
        </w:rPr>
      </w:pPr>
    </w:p>
    <w:sectPr w:rsidR="00464A29" w:rsidSect="00932214">
      <w:footerReference w:type="default" r:id="rId14"/>
      <w:footerReference w:type="first" r:id="rId15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A29" w:rsidRDefault="00464A29" w:rsidP="00462141">
      <w:pPr>
        <w:spacing w:after="0" w:line="240" w:lineRule="auto"/>
      </w:pPr>
      <w:r>
        <w:separator/>
      </w:r>
    </w:p>
  </w:endnote>
  <w:endnote w:type="continuationSeparator" w:id="0">
    <w:p w:rsidR="00464A29" w:rsidRDefault="00464A29" w:rsidP="00462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 New Roman tucné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A29" w:rsidRDefault="00464A29" w:rsidP="002B52DF">
    <w:pPr>
      <w:pStyle w:val="Footer"/>
      <w:jc w:val="center"/>
    </w:pPr>
    <w:fldSimple w:instr=" PAGE   \* MERGEFORMAT ">
      <w:r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A29" w:rsidRDefault="00464A29" w:rsidP="00873092">
    <w:pPr>
      <w:pStyle w:val="Header"/>
      <w:jc w:val="center"/>
    </w:pPr>
  </w:p>
  <w:p w:rsidR="00464A29" w:rsidRDefault="00464A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A29" w:rsidRDefault="00464A29" w:rsidP="00462141">
      <w:pPr>
        <w:spacing w:after="0" w:line="240" w:lineRule="auto"/>
      </w:pPr>
      <w:r>
        <w:separator/>
      </w:r>
    </w:p>
  </w:footnote>
  <w:footnote w:type="continuationSeparator" w:id="0">
    <w:p w:rsidR="00464A29" w:rsidRDefault="00464A29" w:rsidP="00462141">
      <w:pPr>
        <w:spacing w:after="0" w:line="240" w:lineRule="auto"/>
      </w:pPr>
      <w:r>
        <w:continuationSeparator/>
      </w:r>
    </w:p>
  </w:footnote>
  <w:footnote w:id="1">
    <w:p w:rsidR="00464A29" w:rsidRDefault="00464A29">
      <w:pPr>
        <w:pStyle w:val="FootnoteText"/>
      </w:pPr>
      <w:r w:rsidRPr="0039277C">
        <w:rPr>
          <w:rStyle w:val="FootnoteReference"/>
          <w:rFonts w:ascii="Times New Roman" w:hAnsi="Times New Roman"/>
        </w:rPr>
        <w:footnoteRef/>
      </w:r>
      <w:r w:rsidRPr="0039277C">
        <w:rPr>
          <w:rFonts w:ascii="Times New Roman" w:hAnsi="Times New Roman"/>
        </w:rPr>
        <w:t xml:space="preserve"> Za </w:t>
      </w:r>
      <w:r w:rsidRPr="0039277C">
        <w:rPr>
          <w:rFonts w:ascii="Times New Roman" w:hAnsi="Times New Roman"/>
          <w:lang w:val="en-US"/>
        </w:rPr>
        <w:t>“SOA ready“</w:t>
      </w:r>
      <w:r w:rsidRPr="0039277C">
        <w:rPr>
          <w:rFonts w:ascii="Times New Roman" w:hAnsi="Times New Roman"/>
        </w:rPr>
        <w:t xml:space="preserve"> aplikace jsou obecně považovány ty aplikace, které si pouze interně, nebo externě vyměňují </w:t>
      </w:r>
      <w:r w:rsidRPr="0039277C">
        <w:rPr>
          <w:rFonts w:ascii="Times New Roman" w:hAnsi="Times New Roman"/>
          <w:b/>
        </w:rPr>
        <w:t>informace s jinými aplikacemi či</w:t>
      </w:r>
      <w:r w:rsidRPr="0039277C">
        <w:rPr>
          <w:rFonts w:ascii="Times New Roman" w:hAnsi="Times New Roman"/>
          <w:b/>
          <w:lang w:val="en-US"/>
        </w:rPr>
        <w:t xml:space="preserve"> </w:t>
      </w:r>
      <w:r w:rsidRPr="0039277C">
        <w:rPr>
          <w:rFonts w:ascii="Times New Roman" w:hAnsi="Times New Roman"/>
          <w:b/>
        </w:rPr>
        <w:t>moduly pomocí protokolu SOAP jako náhrady RPC (</w:t>
      </w:r>
      <w:r w:rsidRPr="0039277C">
        <w:rPr>
          <w:rFonts w:ascii="Times New Roman" w:hAnsi="Times New Roman"/>
          <w:b/>
          <w:lang w:val="en-US"/>
        </w:rPr>
        <w:t>Remote Procedure Call</w:t>
      </w:r>
      <w:r w:rsidRPr="0039277C">
        <w:rPr>
          <w:rFonts w:ascii="Times New Roman" w:hAnsi="Times New Roman"/>
          <w:b/>
        </w:rPr>
        <w:t>), ale</w:t>
      </w:r>
      <w:r w:rsidRPr="0039277C">
        <w:rPr>
          <w:rFonts w:ascii="Times New Roman" w:hAnsi="Times New Roman"/>
        </w:rPr>
        <w:t xml:space="preserve"> nemají realizovány a nepodporují vrstvy služeb aplikací, řízení a instrumentace (dle standardů OASIS) a tudíž nejsou architektonicky servisně orientované.</w:t>
      </w:r>
    </w:p>
  </w:footnote>
  <w:footnote w:id="2">
    <w:p w:rsidR="00464A29" w:rsidRPr="006866BE" w:rsidRDefault="00464A29" w:rsidP="0039277C">
      <w:pPr>
        <w:pStyle w:val="BodyText"/>
        <w:spacing w:after="0"/>
        <w:jc w:val="both"/>
        <w:rPr>
          <w:sz w:val="16"/>
          <w:szCs w:val="16"/>
        </w:rPr>
      </w:pPr>
      <w:r w:rsidRPr="006866BE">
        <w:rPr>
          <w:rStyle w:val="FootnoteReference"/>
          <w:sz w:val="16"/>
          <w:szCs w:val="16"/>
        </w:rPr>
        <w:footnoteRef/>
      </w:r>
      <w:r w:rsidRPr="006866BE">
        <w:rPr>
          <w:sz w:val="16"/>
          <w:szCs w:val="16"/>
        </w:rPr>
        <w:t xml:space="preserve"> ISO/IEC 12207:2008 Systems and SW ingeneering – SW life cycle processes, </w:t>
      </w:r>
      <w:r>
        <w:rPr>
          <w:sz w:val="16"/>
          <w:szCs w:val="16"/>
        </w:rPr>
        <w:t>ISO/IEC 27001:2005 Information technology – Security techiques, Information management systems – Requirements.</w:t>
      </w:r>
    </w:p>
    <w:p w:rsidR="00464A29" w:rsidRDefault="00464A29" w:rsidP="0039277C">
      <w:pPr>
        <w:pStyle w:val="BodyText"/>
        <w:spacing w:after="0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900C3"/>
    <w:multiLevelType w:val="multilevel"/>
    <w:tmpl w:val="14660B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0B0445A5"/>
    <w:multiLevelType w:val="multilevel"/>
    <w:tmpl w:val="2C24CA54"/>
    <w:lvl w:ilvl="0">
      <w:start w:val="1"/>
      <w:numFmt w:val="decimal"/>
      <w:pStyle w:val="Styl1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pStyle w:val="Styl2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pStyle w:val="Styl3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" w:hanging="7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0" w:hanging="720"/>
      </w:pPr>
      <w:rPr>
        <w:rFonts w:cs="Times New Roman" w:hint="default"/>
      </w:rPr>
    </w:lvl>
  </w:abstractNum>
  <w:abstractNum w:abstractNumId="2">
    <w:nsid w:val="0CE3169B"/>
    <w:multiLevelType w:val="multilevel"/>
    <w:tmpl w:val="13B0A31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126E26C2"/>
    <w:multiLevelType w:val="multilevel"/>
    <w:tmpl w:val="1F429D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197E1B6E"/>
    <w:multiLevelType w:val="hybridMultilevel"/>
    <w:tmpl w:val="DE76DF6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1282C2D"/>
    <w:multiLevelType w:val="hybridMultilevel"/>
    <w:tmpl w:val="FCB452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4A1776"/>
    <w:multiLevelType w:val="multilevel"/>
    <w:tmpl w:val="FD5C76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26717E39"/>
    <w:multiLevelType w:val="multilevel"/>
    <w:tmpl w:val="41605C9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>
    <w:nsid w:val="29BB141D"/>
    <w:multiLevelType w:val="hybridMultilevel"/>
    <w:tmpl w:val="7CFE9D6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B0643DE"/>
    <w:multiLevelType w:val="hybridMultilevel"/>
    <w:tmpl w:val="4EBA8A3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2D972C00"/>
    <w:multiLevelType w:val="hybridMultilevel"/>
    <w:tmpl w:val="3212607E"/>
    <w:lvl w:ilvl="0" w:tplc="19FC55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2E96609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311C3EEC"/>
    <w:multiLevelType w:val="hybridMultilevel"/>
    <w:tmpl w:val="49746E2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3209406F"/>
    <w:multiLevelType w:val="hybridMultilevel"/>
    <w:tmpl w:val="69F8C7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EE47A7"/>
    <w:multiLevelType w:val="hybridMultilevel"/>
    <w:tmpl w:val="4ABC8A2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35C20B50"/>
    <w:multiLevelType w:val="hybridMultilevel"/>
    <w:tmpl w:val="5E4026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2A3229"/>
    <w:multiLevelType w:val="hybridMultilevel"/>
    <w:tmpl w:val="E70C3F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7E03B2C"/>
    <w:multiLevelType w:val="multilevel"/>
    <w:tmpl w:val="5C02155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>
    <w:nsid w:val="3A39639F"/>
    <w:multiLevelType w:val="hybridMultilevel"/>
    <w:tmpl w:val="0F84A1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306F17"/>
    <w:multiLevelType w:val="hybridMultilevel"/>
    <w:tmpl w:val="4E94FE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2B3B34"/>
    <w:multiLevelType w:val="multilevel"/>
    <w:tmpl w:val="53F658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none"/>
      <w:lvlText w:val="%13."/>
      <w:lvlJc w:val="left"/>
      <w:pPr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 w:hint="default"/>
      </w:rPr>
    </w:lvl>
  </w:abstractNum>
  <w:abstractNum w:abstractNumId="21">
    <w:nsid w:val="42143FD2"/>
    <w:multiLevelType w:val="hybridMultilevel"/>
    <w:tmpl w:val="5470C57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4924A19"/>
    <w:multiLevelType w:val="hybridMultilevel"/>
    <w:tmpl w:val="DBB44A6C"/>
    <w:lvl w:ilvl="0" w:tplc="EA185A8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4FF33B8"/>
    <w:multiLevelType w:val="hybridMultilevel"/>
    <w:tmpl w:val="AD1C9ED4"/>
    <w:lvl w:ilvl="0" w:tplc="903A84F0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5EF37FD"/>
    <w:multiLevelType w:val="hybridMultilevel"/>
    <w:tmpl w:val="B4A00136"/>
    <w:lvl w:ilvl="0" w:tplc="0405000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4A833C2D"/>
    <w:multiLevelType w:val="hybridMultilevel"/>
    <w:tmpl w:val="8B0021E0"/>
    <w:lvl w:ilvl="0" w:tplc="040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6">
    <w:nsid w:val="4FE078B5"/>
    <w:multiLevelType w:val="hybridMultilevel"/>
    <w:tmpl w:val="CEFACF2A"/>
    <w:lvl w:ilvl="0" w:tplc="99024856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FEA095D"/>
    <w:multiLevelType w:val="multilevel"/>
    <w:tmpl w:val="952C26B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>
    <w:nsid w:val="50D71164"/>
    <w:multiLevelType w:val="hybridMultilevel"/>
    <w:tmpl w:val="A328CC8C"/>
    <w:lvl w:ilvl="0" w:tplc="DEE6B75A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38D0E69"/>
    <w:multiLevelType w:val="hybridMultilevel"/>
    <w:tmpl w:val="6A7EBEC6"/>
    <w:lvl w:ilvl="0" w:tplc="389648E2">
      <w:start w:val="1"/>
      <w:numFmt w:val="lowerLetter"/>
      <w:pStyle w:val="U3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4684EFA"/>
    <w:multiLevelType w:val="hybridMultilevel"/>
    <w:tmpl w:val="0366D87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6BA55F0"/>
    <w:multiLevelType w:val="hybridMultilevel"/>
    <w:tmpl w:val="442A5E6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DCC2FE0"/>
    <w:multiLevelType w:val="hybridMultilevel"/>
    <w:tmpl w:val="E38276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15E2A8C"/>
    <w:multiLevelType w:val="hybridMultilevel"/>
    <w:tmpl w:val="F6B4FFEA"/>
    <w:lvl w:ilvl="0" w:tplc="7C06622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2ED7AF9"/>
    <w:multiLevelType w:val="hybridMultilevel"/>
    <w:tmpl w:val="B85E82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A162DCD"/>
    <w:multiLevelType w:val="hybridMultilevel"/>
    <w:tmpl w:val="A8E25D3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A5B6148"/>
    <w:multiLevelType w:val="hybridMultilevel"/>
    <w:tmpl w:val="8CEE18F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6CF94E6F"/>
    <w:multiLevelType w:val="hybridMultilevel"/>
    <w:tmpl w:val="BE1A992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>
    <w:nsid w:val="708B4CAA"/>
    <w:multiLevelType w:val="multilevel"/>
    <w:tmpl w:val="DD56EF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9">
    <w:nsid w:val="72E801C2"/>
    <w:multiLevelType w:val="hybridMultilevel"/>
    <w:tmpl w:val="F73ECDBA"/>
    <w:lvl w:ilvl="0" w:tplc="E6B4031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>
    <w:nsid w:val="7363647C"/>
    <w:multiLevelType w:val="hybridMultilevel"/>
    <w:tmpl w:val="D4183B8A"/>
    <w:lvl w:ilvl="0" w:tplc="89F28CF2">
      <w:start w:val="1"/>
      <w:numFmt w:val="decimal"/>
      <w:pStyle w:val="U1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>
    <w:nsid w:val="78606051"/>
    <w:multiLevelType w:val="multilevel"/>
    <w:tmpl w:val="EE6C64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U2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3"/>
  </w:num>
  <w:num w:numId="2">
    <w:abstractNumId w:val="39"/>
  </w:num>
  <w:num w:numId="3">
    <w:abstractNumId w:val="29"/>
  </w:num>
  <w:num w:numId="4">
    <w:abstractNumId w:val="22"/>
  </w:num>
  <w:num w:numId="5">
    <w:abstractNumId w:val="33"/>
  </w:num>
  <w:num w:numId="6">
    <w:abstractNumId w:val="28"/>
  </w:num>
  <w:num w:numId="7">
    <w:abstractNumId w:val="19"/>
  </w:num>
  <w:num w:numId="8">
    <w:abstractNumId w:val="24"/>
  </w:num>
  <w:num w:numId="9">
    <w:abstractNumId w:val="16"/>
  </w:num>
  <w:num w:numId="10">
    <w:abstractNumId w:val="27"/>
  </w:num>
  <w:num w:numId="11">
    <w:abstractNumId w:val="14"/>
  </w:num>
  <w:num w:numId="12">
    <w:abstractNumId w:val="5"/>
  </w:num>
  <w:num w:numId="13">
    <w:abstractNumId w:val="40"/>
  </w:num>
  <w:num w:numId="14">
    <w:abstractNumId w:val="15"/>
  </w:num>
  <w:num w:numId="15">
    <w:abstractNumId w:val="18"/>
  </w:num>
  <w:num w:numId="16">
    <w:abstractNumId w:val="17"/>
  </w:num>
  <w:num w:numId="17">
    <w:abstractNumId w:val="20"/>
  </w:num>
  <w:num w:numId="18">
    <w:abstractNumId w:val="11"/>
  </w:num>
  <w:num w:numId="19">
    <w:abstractNumId w:val="34"/>
  </w:num>
  <w:num w:numId="20">
    <w:abstractNumId w:val="23"/>
  </w:num>
  <w:num w:numId="21">
    <w:abstractNumId w:val="8"/>
  </w:num>
  <w:num w:numId="22">
    <w:abstractNumId w:val="3"/>
  </w:num>
  <w:num w:numId="23">
    <w:abstractNumId w:val="6"/>
  </w:num>
  <w:num w:numId="24">
    <w:abstractNumId w:val="38"/>
  </w:num>
  <w:num w:numId="25">
    <w:abstractNumId w:val="41"/>
  </w:num>
  <w:num w:numId="26">
    <w:abstractNumId w:val="0"/>
  </w:num>
  <w:num w:numId="27">
    <w:abstractNumId w:val="2"/>
  </w:num>
  <w:num w:numId="28">
    <w:abstractNumId w:val="7"/>
  </w:num>
  <w:num w:numId="29">
    <w:abstractNumId w:val="37"/>
  </w:num>
  <w:num w:numId="30">
    <w:abstractNumId w:val="1"/>
  </w:num>
  <w:num w:numId="31">
    <w:abstractNumId w:val="10"/>
  </w:num>
  <w:num w:numId="32">
    <w:abstractNumId w:val="35"/>
  </w:num>
  <w:num w:numId="33">
    <w:abstractNumId w:val="30"/>
  </w:num>
  <w:num w:numId="34">
    <w:abstractNumId w:val="36"/>
  </w:num>
  <w:num w:numId="35">
    <w:abstractNumId w:val="9"/>
  </w:num>
  <w:num w:numId="36">
    <w:abstractNumId w:val="29"/>
  </w:num>
  <w:num w:numId="37">
    <w:abstractNumId w:val="29"/>
  </w:num>
  <w:num w:numId="38">
    <w:abstractNumId w:val="26"/>
  </w:num>
  <w:num w:numId="39">
    <w:abstractNumId w:val="4"/>
  </w:num>
  <w:num w:numId="40">
    <w:abstractNumId w:val="21"/>
  </w:num>
  <w:num w:numId="41">
    <w:abstractNumId w:val="29"/>
  </w:num>
  <w:num w:numId="42">
    <w:abstractNumId w:val="29"/>
  </w:num>
  <w:num w:numId="43">
    <w:abstractNumId w:val="31"/>
  </w:num>
  <w:num w:numId="44">
    <w:abstractNumId w:val="32"/>
  </w:num>
  <w:num w:numId="45">
    <w:abstractNumId w:val="12"/>
  </w:num>
  <w:num w:numId="46">
    <w:abstractNumId w:val="25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0F49"/>
    <w:rsid w:val="00001FFF"/>
    <w:rsid w:val="00003C63"/>
    <w:rsid w:val="000071C7"/>
    <w:rsid w:val="0002189B"/>
    <w:rsid w:val="00021A8E"/>
    <w:rsid w:val="00022EEB"/>
    <w:rsid w:val="0002412E"/>
    <w:rsid w:val="00030F02"/>
    <w:rsid w:val="000324FE"/>
    <w:rsid w:val="00036BC4"/>
    <w:rsid w:val="0004048A"/>
    <w:rsid w:val="000442F6"/>
    <w:rsid w:val="00046388"/>
    <w:rsid w:val="00053EB7"/>
    <w:rsid w:val="000551D8"/>
    <w:rsid w:val="00056FD7"/>
    <w:rsid w:val="00064EC1"/>
    <w:rsid w:val="0007060B"/>
    <w:rsid w:val="00070C6F"/>
    <w:rsid w:val="00076A9A"/>
    <w:rsid w:val="00077723"/>
    <w:rsid w:val="00080E24"/>
    <w:rsid w:val="000939A2"/>
    <w:rsid w:val="000944A8"/>
    <w:rsid w:val="000944D6"/>
    <w:rsid w:val="000B491B"/>
    <w:rsid w:val="000C4733"/>
    <w:rsid w:val="000C4D41"/>
    <w:rsid w:val="000D2924"/>
    <w:rsid w:val="000D48F9"/>
    <w:rsid w:val="000D63E8"/>
    <w:rsid w:val="000D7AA4"/>
    <w:rsid w:val="000E0F20"/>
    <w:rsid w:val="000E1102"/>
    <w:rsid w:val="000E2E02"/>
    <w:rsid w:val="000E37CF"/>
    <w:rsid w:val="000E5EC0"/>
    <w:rsid w:val="000F4EBF"/>
    <w:rsid w:val="00101E49"/>
    <w:rsid w:val="001053BD"/>
    <w:rsid w:val="001075E6"/>
    <w:rsid w:val="0011184A"/>
    <w:rsid w:val="001212A1"/>
    <w:rsid w:val="0012192F"/>
    <w:rsid w:val="0012198A"/>
    <w:rsid w:val="00122C63"/>
    <w:rsid w:val="00123594"/>
    <w:rsid w:val="00123C3F"/>
    <w:rsid w:val="00124EE1"/>
    <w:rsid w:val="0013248C"/>
    <w:rsid w:val="00141AB1"/>
    <w:rsid w:val="00142ECC"/>
    <w:rsid w:val="00147C3F"/>
    <w:rsid w:val="00152346"/>
    <w:rsid w:val="00156757"/>
    <w:rsid w:val="00156DA6"/>
    <w:rsid w:val="00160FAC"/>
    <w:rsid w:val="0017212B"/>
    <w:rsid w:val="00174A0B"/>
    <w:rsid w:val="00175F4A"/>
    <w:rsid w:val="001855D9"/>
    <w:rsid w:val="0018658B"/>
    <w:rsid w:val="00186736"/>
    <w:rsid w:val="00195E47"/>
    <w:rsid w:val="001A134E"/>
    <w:rsid w:val="001A2B9C"/>
    <w:rsid w:val="001A5EA8"/>
    <w:rsid w:val="001C1BBE"/>
    <w:rsid w:val="001C2E7D"/>
    <w:rsid w:val="001C7FBC"/>
    <w:rsid w:val="001C7FD8"/>
    <w:rsid w:val="001D615E"/>
    <w:rsid w:val="001D6455"/>
    <w:rsid w:val="001D6AE5"/>
    <w:rsid w:val="001E082E"/>
    <w:rsid w:val="001E08AE"/>
    <w:rsid w:val="001E5D69"/>
    <w:rsid w:val="001E657C"/>
    <w:rsid w:val="001F5ACB"/>
    <w:rsid w:val="001F6190"/>
    <w:rsid w:val="002009E8"/>
    <w:rsid w:val="00202BA6"/>
    <w:rsid w:val="00202F1A"/>
    <w:rsid w:val="002041BE"/>
    <w:rsid w:val="0020784C"/>
    <w:rsid w:val="00207EE2"/>
    <w:rsid w:val="00214D1C"/>
    <w:rsid w:val="00220D84"/>
    <w:rsid w:val="00221971"/>
    <w:rsid w:val="002220CA"/>
    <w:rsid w:val="002224F6"/>
    <w:rsid w:val="00222969"/>
    <w:rsid w:val="00223AFB"/>
    <w:rsid w:val="00226A5F"/>
    <w:rsid w:val="00226E31"/>
    <w:rsid w:val="00232BB2"/>
    <w:rsid w:val="00241EC1"/>
    <w:rsid w:val="002455FE"/>
    <w:rsid w:val="00250E50"/>
    <w:rsid w:val="0025249C"/>
    <w:rsid w:val="00252E47"/>
    <w:rsid w:val="00262C51"/>
    <w:rsid w:val="00263FD2"/>
    <w:rsid w:val="002670C2"/>
    <w:rsid w:val="0027180B"/>
    <w:rsid w:val="00272142"/>
    <w:rsid w:val="002742F6"/>
    <w:rsid w:val="00282EA2"/>
    <w:rsid w:val="0028483D"/>
    <w:rsid w:val="00285A1F"/>
    <w:rsid w:val="00285C52"/>
    <w:rsid w:val="002A000E"/>
    <w:rsid w:val="002A396B"/>
    <w:rsid w:val="002A693B"/>
    <w:rsid w:val="002A761F"/>
    <w:rsid w:val="002B17ED"/>
    <w:rsid w:val="002B2323"/>
    <w:rsid w:val="002B52DF"/>
    <w:rsid w:val="002B7B1C"/>
    <w:rsid w:val="002C0089"/>
    <w:rsid w:val="002C032D"/>
    <w:rsid w:val="002C22D9"/>
    <w:rsid w:val="002C4B3B"/>
    <w:rsid w:val="002C72D9"/>
    <w:rsid w:val="002D2E0F"/>
    <w:rsid w:val="002D6023"/>
    <w:rsid w:val="002E007A"/>
    <w:rsid w:val="002E0673"/>
    <w:rsid w:val="002E2918"/>
    <w:rsid w:val="002E3DBD"/>
    <w:rsid w:val="002E5718"/>
    <w:rsid w:val="002E7806"/>
    <w:rsid w:val="002E7CC7"/>
    <w:rsid w:val="002F3D2E"/>
    <w:rsid w:val="002F63B2"/>
    <w:rsid w:val="00300630"/>
    <w:rsid w:val="003041B6"/>
    <w:rsid w:val="003115B7"/>
    <w:rsid w:val="0031190D"/>
    <w:rsid w:val="00313235"/>
    <w:rsid w:val="00320E2A"/>
    <w:rsid w:val="0032275B"/>
    <w:rsid w:val="00322A25"/>
    <w:rsid w:val="00323388"/>
    <w:rsid w:val="00324888"/>
    <w:rsid w:val="00332037"/>
    <w:rsid w:val="003342B2"/>
    <w:rsid w:val="003372B9"/>
    <w:rsid w:val="00341A9F"/>
    <w:rsid w:val="00341F6D"/>
    <w:rsid w:val="0034281A"/>
    <w:rsid w:val="003452FB"/>
    <w:rsid w:val="0035076E"/>
    <w:rsid w:val="00354FE2"/>
    <w:rsid w:val="00356DF3"/>
    <w:rsid w:val="00360290"/>
    <w:rsid w:val="003604D8"/>
    <w:rsid w:val="00362C1F"/>
    <w:rsid w:val="00372D2A"/>
    <w:rsid w:val="00377E5E"/>
    <w:rsid w:val="00381D24"/>
    <w:rsid w:val="00385B78"/>
    <w:rsid w:val="00385F01"/>
    <w:rsid w:val="00390D25"/>
    <w:rsid w:val="0039277C"/>
    <w:rsid w:val="003A1C15"/>
    <w:rsid w:val="003A53A6"/>
    <w:rsid w:val="003B0C0D"/>
    <w:rsid w:val="003B0E01"/>
    <w:rsid w:val="003D4A23"/>
    <w:rsid w:val="003D4E87"/>
    <w:rsid w:val="003D5DF2"/>
    <w:rsid w:val="003D749F"/>
    <w:rsid w:val="003D7A64"/>
    <w:rsid w:val="003D7D99"/>
    <w:rsid w:val="003E03E9"/>
    <w:rsid w:val="003E5A05"/>
    <w:rsid w:val="003E73B5"/>
    <w:rsid w:val="003E7C8A"/>
    <w:rsid w:val="003F32A6"/>
    <w:rsid w:val="003F4C2D"/>
    <w:rsid w:val="00402888"/>
    <w:rsid w:val="00403A7D"/>
    <w:rsid w:val="00407099"/>
    <w:rsid w:val="00410B93"/>
    <w:rsid w:val="00410C61"/>
    <w:rsid w:val="004128BE"/>
    <w:rsid w:val="00416E7B"/>
    <w:rsid w:val="00417ADE"/>
    <w:rsid w:val="0042129A"/>
    <w:rsid w:val="004237B4"/>
    <w:rsid w:val="0042783C"/>
    <w:rsid w:val="00433501"/>
    <w:rsid w:val="00437177"/>
    <w:rsid w:val="00454CC5"/>
    <w:rsid w:val="00457328"/>
    <w:rsid w:val="00462141"/>
    <w:rsid w:val="00464839"/>
    <w:rsid w:val="00464A29"/>
    <w:rsid w:val="0046657D"/>
    <w:rsid w:val="00467049"/>
    <w:rsid w:val="00473932"/>
    <w:rsid w:val="00481735"/>
    <w:rsid w:val="00483A09"/>
    <w:rsid w:val="004844D2"/>
    <w:rsid w:val="00486EAD"/>
    <w:rsid w:val="004873BC"/>
    <w:rsid w:val="004876BF"/>
    <w:rsid w:val="00495679"/>
    <w:rsid w:val="004957A2"/>
    <w:rsid w:val="004A185B"/>
    <w:rsid w:val="004A5AA6"/>
    <w:rsid w:val="004A5B99"/>
    <w:rsid w:val="004B20C0"/>
    <w:rsid w:val="004B2E18"/>
    <w:rsid w:val="004B39AF"/>
    <w:rsid w:val="004B6C8C"/>
    <w:rsid w:val="004B787D"/>
    <w:rsid w:val="004C3CC1"/>
    <w:rsid w:val="004D5B57"/>
    <w:rsid w:val="004E13DF"/>
    <w:rsid w:val="004E784C"/>
    <w:rsid w:val="004F04F3"/>
    <w:rsid w:val="004F268C"/>
    <w:rsid w:val="0051176A"/>
    <w:rsid w:val="00513F5F"/>
    <w:rsid w:val="00516F11"/>
    <w:rsid w:val="00523ECD"/>
    <w:rsid w:val="005246F5"/>
    <w:rsid w:val="00525158"/>
    <w:rsid w:val="00526D20"/>
    <w:rsid w:val="00535123"/>
    <w:rsid w:val="005413FC"/>
    <w:rsid w:val="00545A2B"/>
    <w:rsid w:val="00545E57"/>
    <w:rsid w:val="00546CFC"/>
    <w:rsid w:val="00550C34"/>
    <w:rsid w:val="005527D6"/>
    <w:rsid w:val="00554113"/>
    <w:rsid w:val="0055570F"/>
    <w:rsid w:val="005564B5"/>
    <w:rsid w:val="00557129"/>
    <w:rsid w:val="005607CF"/>
    <w:rsid w:val="00562ECC"/>
    <w:rsid w:val="005722FE"/>
    <w:rsid w:val="00572B33"/>
    <w:rsid w:val="0057669C"/>
    <w:rsid w:val="005833D5"/>
    <w:rsid w:val="00585A9B"/>
    <w:rsid w:val="005861C6"/>
    <w:rsid w:val="00592ED6"/>
    <w:rsid w:val="00596322"/>
    <w:rsid w:val="00596FAA"/>
    <w:rsid w:val="00597004"/>
    <w:rsid w:val="005A300E"/>
    <w:rsid w:val="005B3E9F"/>
    <w:rsid w:val="005B4828"/>
    <w:rsid w:val="005C1BF0"/>
    <w:rsid w:val="005D4393"/>
    <w:rsid w:val="005D4BF0"/>
    <w:rsid w:val="005D7941"/>
    <w:rsid w:val="005E581D"/>
    <w:rsid w:val="005E66F8"/>
    <w:rsid w:val="005F0A6F"/>
    <w:rsid w:val="005F17AD"/>
    <w:rsid w:val="005F3B6E"/>
    <w:rsid w:val="005F5211"/>
    <w:rsid w:val="006025FA"/>
    <w:rsid w:val="0060483C"/>
    <w:rsid w:val="00605F15"/>
    <w:rsid w:val="00606A62"/>
    <w:rsid w:val="006077DC"/>
    <w:rsid w:val="006110C2"/>
    <w:rsid w:val="0061291D"/>
    <w:rsid w:val="00613ABF"/>
    <w:rsid w:val="00614363"/>
    <w:rsid w:val="00621400"/>
    <w:rsid w:val="00623B4B"/>
    <w:rsid w:val="00627466"/>
    <w:rsid w:val="00633C26"/>
    <w:rsid w:val="00644E3F"/>
    <w:rsid w:val="00647CF6"/>
    <w:rsid w:val="0065435F"/>
    <w:rsid w:val="00655749"/>
    <w:rsid w:val="00661026"/>
    <w:rsid w:val="006621AA"/>
    <w:rsid w:val="006641C9"/>
    <w:rsid w:val="00666DF1"/>
    <w:rsid w:val="00674128"/>
    <w:rsid w:val="00674A3D"/>
    <w:rsid w:val="006776BB"/>
    <w:rsid w:val="006820AB"/>
    <w:rsid w:val="006866BE"/>
    <w:rsid w:val="00693879"/>
    <w:rsid w:val="006A09C6"/>
    <w:rsid w:val="006A55A8"/>
    <w:rsid w:val="006A56C3"/>
    <w:rsid w:val="006A5923"/>
    <w:rsid w:val="006A689C"/>
    <w:rsid w:val="006B1230"/>
    <w:rsid w:val="006B1715"/>
    <w:rsid w:val="006B2995"/>
    <w:rsid w:val="006B2A82"/>
    <w:rsid w:val="006C13A2"/>
    <w:rsid w:val="006C312D"/>
    <w:rsid w:val="006D0B84"/>
    <w:rsid w:val="006D5566"/>
    <w:rsid w:val="006E2072"/>
    <w:rsid w:val="006E34C2"/>
    <w:rsid w:val="006E79E6"/>
    <w:rsid w:val="006F4820"/>
    <w:rsid w:val="006F4AD2"/>
    <w:rsid w:val="00703668"/>
    <w:rsid w:val="00707AF2"/>
    <w:rsid w:val="007130F4"/>
    <w:rsid w:val="0071470A"/>
    <w:rsid w:val="00714FD1"/>
    <w:rsid w:val="007171CE"/>
    <w:rsid w:val="00727C60"/>
    <w:rsid w:val="0073377B"/>
    <w:rsid w:val="00741A56"/>
    <w:rsid w:val="00745EDB"/>
    <w:rsid w:val="00746E50"/>
    <w:rsid w:val="00747831"/>
    <w:rsid w:val="00751F84"/>
    <w:rsid w:val="007542E8"/>
    <w:rsid w:val="00763B67"/>
    <w:rsid w:val="00775B3F"/>
    <w:rsid w:val="00777F6C"/>
    <w:rsid w:val="00781F9F"/>
    <w:rsid w:val="007847E8"/>
    <w:rsid w:val="007907CE"/>
    <w:rsid w:val="0079573F"/>
    <w:rsid w:val="00795A2E"/>
    <w:rsid w:val="007964FD"/>
    <w:rsid w:val="007A3264"/>
    <w:rsid w:val="007A56C0"/>
    <w:rsid w:val="007B1726"/>
    <w:rsid w:val="007B321E"/>
    <w:rsid w:val="007B5425"/>
    <w:rsid w:val="007C088E"/>
    <w:rsid w:val="007C0E2A"/>
    <w:rsid w:val="007C4C22"/>
    <w:rsid w:val="007C4E40"/>
    <w:rsid w:val="007C7EC5"/>
    <w:rsid w:val="007D2200"/>
    <w:rsid w:val="007D48AF"/>
    <w:rsid w:val="007D5117"/>
    <w:rsid w:val="007E0F49"/>
    <w:rsid w:val="007E1C7F"/>
    <w:rsid w:val="007E4B9E"/>
    <w:rsid w:val="007F0571"/>
    <w:rsid w:val="007F4318"/>
    <w:rsid w:val="007F4FBF"/>
    <w:rsid w:val="007F7802"/>
    <w:rsid w:val="008038B3"/>
    <w:rsid w:val="00806C56"/>
    <w:rsid w:val="00807600"/>
    <w:rsid w:val="008102B4"/>
    <w:rsid w:val="00820C7D"/>
    <w:rsid w:val="00822682"/>
    <w:rsid w:val="008258E7"/>
    <w:rsid w:val="008307CC"/>
    <w:rsid w:val="00834FC3"/>
    <w:rsid w:val="00837D92"/>
    <w:rsid w:val="008402C2"/>
    <w:rsid w:val="00840A54"/>
    <w:rsid w:val="00840D0B"/>
    <w:rsid w:val="0084167B"/>
    <w:rsid w:val="00845447"/>
    <w:rsid w:val="00846FC5"/>
    <w:rsid w:val="00853C83"/>
    <w:rsid w:val="00854029"/>
    <w:rsid w:val="00863F2D"/>
    <w:rsid w:val="008678ED"/>
    <w:rsid w:val="00867AA3"/>
    <w:rsid w:val="00873092"/>
    <w:rsid w:val="00873530"/>
    <w:rsid w:val="00877702"/>
    <w:rsid w:val="00886E38"/>
    <w:rsid w:val="0088716D"/>
    <w:rsid w:val="00892229"/>
    <w:rsid w:val="008A184A"/>
    <w:rsid w:val="008A3EDF"/>
    <w:rsid w:val="008B0464"/>
    <w:rsid w:val="008B780D"/>
    <w:rsid w:val="008C011F"/>
    <w:rsid w:val="008C09B8"/>
    <w:rsid w:val="008C52C6"/>
    <w:rsid w:val="008C6859"/>
    <w:rsid w:val="008D51FA"/>
    <w:rsid w:val="008D7729"/>
    <w:rsid w:val="008E3EB8"/>
    <w:rsid w:val="008E503F"/>
    <w:rsid w:val="008F1734"/>
    <w:rsid w:val="008F42D5"/>
    <w:rsid w:val="00901AF0"/>
    <w:rsid w:val="0090227C"/>
    <w:rsid w:val="009028B6"/>
    <w:rsid w:val="009056B7"/>
    <w:rsid w:val="00907C58"/>
    <w:rsid w:val="00914594"/>
    <w:rsid w:val="00917541"/>
    <w:rsid w:val="00926E63"/>
    <w:rsid w:val="00932214"/>
    <w:rsid w:val="00932C51"/>
    <w:rsid w:val="00934261"/>
    <w:rsid w:val="009402E4"/>
    <w:rsid w:val="00944D09"/>
    <w:rsid w:val="00945265"/>
    <w:rsid w:val="00947238"/>
    <w:rsid w:val="0094761E"/>
    <w:rsid w:val="00947639"/>
    <w:rsid w:val="00947AC5"/>
    <w:rsid w:val="00953FC3"/>
    <w:rsid w:val="00954E2F"/>
    <w:rsid w:val="009640A2"/>
    <w:rsid w:val="00967BED"/>
    <w:rsid w:val="00973CE6"/>
    <w:rsid w:val="009817A1"/>
    <w:rsid w:val="00985C11"/>
    <w:rsid w:val="009913B6"/>
    <w:rsid w:val="00991AAA"/>
    <w:rsid w:val="00994020"/>
    <w:rsid w:val="009A4F23"/>
    <w:rsid w:val="009B00B4"/>
    <w:rsid w:val="009B5332"/>
    <w:rsid w:val="009B6E86"/>
    <w:rsid w:val="009C001D"/>
    <w:rsid w:val="009C1474"/>
    <w:rsid w:val="009C37FB"/>
    <w:rsid w:val="009C4B0D"/>
    <w:rsid w:val="009C5A3E"/>
    <w:rsid w:val="009D0222"/>
    <w:rsid w:val="009D044A"/>
    <w:rsid w:val="009D0BF3"/>
    <w:rsid w:val="009D4434"/>
    <w:rsid w:val="009D64B2"/>
    <w:rsid w:val="009D6BA9"/>
    <w:rsid w:val="009E008B"/>
    <w:rsid w:val="009E1E45"/>
    <w:rsid w:val="009E5D31"/>
    <w:rsid w:val="009F5566"/>
    <w:rsid w:val="00A02943"/>
    <w:rsid w:val="00A04823"/>
    <w:rsid w:val="00A05A17"/>
    <w:rsid w:val="00A11C53"/>
    <w:rsid w:val="00A14948"/>
    <w:rsid w:val="00A16F32"/>
    <w:rsid w:val="00A231D6"/>
    <w:rsid w:val="00A30DD9"/>
    <w:rsid w:val="00A3161A"/>
    <w:rsid w:val="00A35AB0"/>
    <w:rsid w:val="00A35F39"/>
    <w:rsid w:val="00A4016C"/>
    <w:rsid w:val="00A40E73"/>
    <w:rsid w:val="00A4540D"/>
    <w:rsid w:val="00A518B5"/>
    <w:rsid w:val="00A52FB8"/>
    <w:rsid w:val="00A546FF"/>
    <w:rsid w:val="00A56726"/>
    <w:rsid w:val="00A579F2"/>
    <w:rsid w:val="00A613D4"/>
    <w:rsid w:val="00A67DE1"/>
    <w:rsid w:val="00A82F38"/>
    <w:rsid w:val="00A939F4"/>
    <w:rsid w:val="00A94470"/>
    <w:rsid w:val="00A97B31"/>
    <w:rsid w:val="00A97DC2"/>
    <w:rsid w:val="00AA1A7A"/>
    <w:rsid w:val="00AA26D5"/>
    <w:rsid w:val="00AB1A0E"/>
    <w:rsid w:val="00AB28C2"/>
    <w:rsid w:val="00AB7593"/>
    <w:rsid w:val="00AC2167"/>
    <w:rsid w:val="00AC6354"/>
    <w:rsid w:val="00AD1109"/>
    <w:rsid w:val="00AD4699"/>
    <w:rsid w:val="00AE4EED"/>
    <w:rsid w:val="00AE6455"/>
    <w:rsid w:val="00AF0B99"/>
    <w:rsid w:val="00AF0DE1"/>
    <w:rsid w:val="00AF2816"/>
    <w:rsid w:val="00AF4C98"/>
    <w:rsid w:val="00B01586"/>
    <w:rsid w:val="00B04708"/>
    <w:rsid w:val="00B10194"/>
    <w:rsid w:val="00B114CC"/>
    <w:rsid w:val="00B1385A"/>
    <w:rsid w:val="00B13AE0"/>
    <w:rsid w:val="00B15DA5"/>
    <w:rsid w:val="00B21581"/>
    <w:rsid w:val="00B25A4A"/>
    <w:rsid w:val="00B26C65"/>
    <w:rsid w:val="00B27CFC"/>
    <w:rsid w:val="00B31A72"/>
    <w:rsid w:val="00B32DA1"/>
    <w:rsid w:val="00B3332D"/>
    <w:rsid w:val="00B33D64"/>
    <w:rsid w:val="00B3790B"/>
    <w:rsid w:val="00B4267E"/>
    <w:rsid w:val="00B51D67"/>
    <w:rsid w:val="00B5316B"/>
    <w:rsid w:val="00B60FEA"/>
    <w:rsid w:val="00B6116F"/>
    <w:rsid w:val="00B617CC"/>
    <w:rsid w:val="00B6709F"/>
    <w:rsid w:val="00B67782"/>
    <w:rsid w:val="00B67A17"/>
    <w:rsid w:val="00B718FD"/>
    <w:rsid w:val="00B72C20"/>
    <w:rsid w:val="00B74474"/>
    <w:rsid w:val="00B74C1A"/>
    <w:rsid w:val="00B81058"/>
    <w:rsid w:val="00B83B7C"/>
    <w:rsid w:val="00B84927"/>
    <w:rsid w:val="00BA0101"/>
    <w:rsid w:val="00BA24CA"/>
    <w:rsid w:val="00BA6631"/>
    <w:rsid w:val="00BA72DF"/>
    <w:rsid w:val="00BC33B7"/>
    <w:rsid w:val="00BC37F0"/>
    <w:rsid w:val="00BC56D5"/>
    <w:rsid w:val="00BC7FC4"/>
    <w:rsid w:val="00BE0526"/>
    <w:rsid w:val="00BE2505"/>
    <w:rsid w:val="00BE295E"/>
    <w:rsid w:val="00BE6067"/>
    <w:rsid w:val="00BE6FCB"/>
    <w:rsid w:val="00BE7081"/>
    <w:rsid w:val="00BE76E6"/>
    <w:rsid w:val="00BE79D2"/>
    <w:rsid w:val="00BF0A42"/>
    <w:rsid w:val="00BF232E"/>
    <w:rsid w:val="00C00876"/>
    <w:rsid w:val="00C02198"/>
    <w:rsid w:val="00C06666"/>
    <w:rsid w:val="00C10829"/>
    <w:rsid w:val="00C11FB2"/>
    <w:rsid w:val="00C172AC"/>
    <w:rsid w:val="00C1789E"/>
    <w:rsid w:val="00C222CA"/>
    <w:rsid w:val="00C252A5"/>
    <w:rsid w:val="00C322DD"/>
    <w:rsid w:val="00C32A9C"/>
    <w:rsid w:val="00C428B9"/>
    <w:rsid w:val="00C430CC"/>
    <w:rsid w:val="00C45F31"/>
    <w:rsid w:val="00C47718"/>
    <w:rsid w:val="00C56F88"/>
    <w:rsid w:val="00C57425"/>
    <w:rsid w:val="00C64E98"/>
    <w:rsid w:val="00C6517F"/>
    <w:rsid w:val="00C6527B"/>
    <w:rsid w:val="00C71EB7"/>
    <w:rsid w:val="00C77CDA"/>
    <w:rsid w:val="00C92783"/>
    <w:rsid w:val="00C971E7"/>
    <w:rsid w:val="00C97797"/>
    <w:rsid w:val="00C97C39"/>
    <w:rsid w:val="00CB08A0"/>
    <w:rsid w:val="00CC0DE2"/>
    <w:rsid w:val="00CC23DB"/>
    <w:rsid w:val="00CC258D"/>
    <w:rsid w:val="00CD2EF6"/>
    <w:rsid w:val="00CF0A86"/>
    <w:rsid w:val="00CF16DC"/>
    <w:rsid w:val="00CF4766"/>
    <w:rsid w:val="00D00836"/>
    <w:rsid w:val="00D008CF"/>
    <w:rsid w:val="00D03BA6"/>
    <w:rsid w:val="00D10487"/>
    <w:rsid w:val="00D16283"/>
    <w:rsid w:val="00D17DC7"/>
    <w:rsid w:val="00D17EF5"/>
    <w:rsid w:val="00D2104B"/>
    <w:rsid w:val="00D215B6"/>
    <w:rsid w:val="00D21E83"/>
    <w:rsid w:val="00D222AE"/>
    <w:rsid w:val="00D250A8"/>
    <w:rsid w:val="00D307FF"/>
    <w:rsid w:val="00D41106"/>
    <w:rsid w:val="00D43681"/>
    <w:rsid w:val="00D53856"/>
    <w:rsid w:val="00D62D05"/>
    <w:rsid w:val="00D63F6A"/>
    <w:rsid w:val="00D65A3F"/>
    <w:rsid w:val="00D66947"/>
    <w:rsid w:val="00D70993"/>
    <w:rsid w:val="00D83EA6"/>
    <w:rsid w:val="00D86DFD"/>
    <w:rsid w:val="00D97C12"/>
    <w:rsid w:val="00DB5F55"/>
    <w:rsid w:val="00DB6A51"/>
    <w:rsid w:val="00DC002F"/>
    <w:rsid w:val="00DC2939"/>
    <w:rsid w:val="00DC4754"/>
    <w:rsid w:val="00DC6689"/>
    <w:rsid w:val="00DD2FB9"/>
    <w:rsid w:val="00DD47C8"/>
    <w:rsid w:val="00DD7A25"/>
    <w:rsid w:val="00DE3317"/>
    <w:rsid w:val="00DF253C"/>
    <w:rsid w:val="00DF71D5"/>
    <w:rsid w:val="00E0024A"/>
    <w:rsid w:val="00E030C8"/>
    <w:rsid w:val="00E063F0"/>
    <w:rsid w:val="00E07AB8"/>
    <w:rsid w:val="00E111C5"/>
    <w:rsid w:val="00E1265B"/>
    <w:rsid w:val="00E168E8"/>
    <w:rsid w:val="00E22569"/>
    <w:rsid w:val="00E23C97"/>
    <w:rsid w:val="00E26B8C"/>
    <w:rsid w:val="00E2702B"/>
    <w:rsid w:val="00E31D53"/>
    <w:rsid w:val="00E3766D"/>
    <w:rsid w:val="00E37FBC"/>
    <w:rsid w:val="00E51EA6"/>
    <w:rsid w:val="00E527F6"/>
    <w:rsid w:val="00E53DE3"/>
    <w:rsid w:val="00E62C83"/>
    <w:rsid w:val="00E634AA"/>
    <w:rsid w:val="00E67B87"/>
    <w:rsid w:val="00E74F71"/>
    <w:rsid w:val="00E80541"/>
    <w:rsid w:val="00E81BEF"/>
    <w:rsid w:val="00E8358B"/>
    <w:rsid w:val="00E85AE3"/>
    <w:rsid w:val="00E87082"/>
    <w:rsid w:val="00E945D1"/>
    <w:rsid w:val="00EA52F9"/>
    <w:rsid w:val="00EB1E1B"/>
    <w:rsid w:val="00EB2EE6"/>
    <w:rsid w:val="00EB462E"/>
    <w:rsid w:val="00EB6CBA"/>
    <w:rsid w:val="00EC2D85"/>
    <w:rsid w:val="00EC3B2A"/>
    <w:rsid w:val="00EC748A"/>
    <w:rsid w:val="00ED2AE5"/>
    <w:rsid w:val="00ED390A"/>
    <w:rsid w:val="00ED7FDB"/>
    <w:rsid w:val="00EE4F09"/>
    <w:rsid w:val="00EE65BE"/>
    <w:rsid w:val="00EE668D"/>
    <w:rsid w:val="00EF186C"/>
    <w:rsid w:val="00EF3467"/>
    <w:rsid w:val="00EF6848"/>
    <w:rsid w:val="00EF6A2C"/>
    <w:rsid w:val="00EF6EF5"/>
    <w:rsid w:val="00F041F5"/>
    <w:rsid w:val="00F05997"/>
    <w:rsid w:val="00F07D8E"/>
    <w:rsid w:val="00F10DEE"/>
    <w:rsid w:val="00F135FB"/>
    <w:rsid w:val="00F145A2"/>
    <w:rsid w:val="00F16FC2"/>
    <w:rsid w:val="00F23D4A"/>
    <w:rsid w:val="00F26EDA"/>
    <w:rsid w:val="00F26F6C"/>
    <w:rsid w:val="00F304D5"/>
    <w:rsid w:val="00F3227A"/>
    <w:rsid w:val="00F322A6"/>
    <w:rsid w:val="00F32D9F"/>
    <w:rsid w:val="00F43367"/>
    <w:rsid w:val="00F46245"/>
    <w:rsid w:val="00F47EEC"/>
    <w:rsid w:val="00F515E2"/>
    <w:rsid w:val="00F556F8"/>
    <w:rsid w:val="00F577B6"/>
    <w:rsid w:val="00F62DE8"/>
    <w:rsid w:val="00F67C78"/>
    <w:rsid w:val="00F67D73"/>
    <w:rsid w:val="00F7479E"/>
    <w:rsid w:val="00F74F59"/>
    <w:rsid w:val="00F7620E"/>
    <w:rsid w:val="00F8125E"/>
    <w:rsid w:val="00F84A7C"/>
    <w:rsid w:val="00F9019A"/>
    <w:rsid w:val="00F90EC6"/>
    <w:rsid w:val="00F93969"/>
    <w:rsid w:val="00F96AA0"/>
    <w:rsid w:val="00FA0020"/>
    <w:rsid w:val="00FA1135"/>
    <w:rsid w:val="00FB0565"/>
    <w:rsid w:val="00FB24BD"/>
    <w:rsid w:val="00FB663A"/>
    <w:rsid w:val="00FB6DF3"/>
    <w:rsid w:val="00FB7A32"/>
    <w:rsid w:val="00FC1106"/>
    <w:rsid w:val="00FC7877"/>
    <w:rsid w:val="00FD35EC"/>
    <w:rsid w:val="00FD4452"/>
    <w:rsid w:val="00FD4B76"/>
    <w:rsid w:val="00FD7EE9"/>
    <w:rsid w:val="00FF1495"/>
    <w:rsid w:val="00FF3002"/>
    <w:rsid w:val="00FF3514"/>
    <w:rsid w:val="00FF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661026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B52D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A689C"/>
    <w:pPr>
      <w:keepNext/>
      <w:keepLines/>
      <w:numPr>
        <w:ilvl w:val="1"/>
        <w:numId w:val="26"/>
      </w:numPr>
      <w:spacing w:before="200" w:after="0" w:line="360" w:lineRule="auto"/>
      <w:ind w:left="993" w:hanging="633"/>
      <w:outlineLvl w:val="1"/>
    </w:pPr>
    <w:rPr>
      <w:rFonts w:ascii="Cambria" w:eastAsia="Times New Roman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90EC6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B52DF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A689C"/>
    <w:rPr>
      <w:rFonts w:ascii="Cambria" w:hAnsi="Cambria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90EC6"/>
    <w:rPr>
      <w:rFonts w:ascii="Cambria" w:hAnsi="Cambria" w:cs="Times New Roman"/>
      <w:b/>
      <w:bCs/>
      <w:color w:val="4F81BD"/>
    </w:rPr>
  </w:style>
  <w:style w:type="paragraph" w:styleId="ListParagraph">
    <w:name w:val="List Paragraph"/>
    <w:basedOn w:val="Normal"/>
    <w:link w:val="ListParagraphChar2"/>
    <w:uiPriority w:val="99"/>
    <w:qFormat/>
    <w:rsid w:val="007E0F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47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783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4621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462141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462141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99"/>
    <w:rsid w:val="00B84927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84927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Odstavecseseznamem2">
    <w:name w:val="Odstavec se seznamem2"/>
    <w:basedOn w:val="Normal"/>
    <w:link w:val="ListParagraphChar1"/>
    <w:uiPriority w:val="99"/>
    <w:rsid w:val="00B84927"/>
    <w:pPr>
      <w:spacing w:after="0" w:line="240" w:lineRule="auto"/>
      <w:ind w:left="720"/>
      <w:jc w:val="both"/>
    </w:pPr>
    <w:rPr>
      <w:rFonts w:ascii="Times New Roman" w:eastAsia="Times New Roman" w:hAnsi="Times New Roman"/>
      <w:sz w:val="24"/>
    </w:rPr>
  </w:style>
  <w:style w:type="character" w:customStyle="1" w:styleId="ListParagraphChar1">
    <w:name w:val="List Paragraph Char1"/>
    <w:basedOn w:val="DefaultParagraphFont"/>
    <w:link w:val="Odstavecseseznamem2"/>
    <w:uiPriority w:val="99"/>
    <w:locked/>
    <w:rsid w:val="00B84927"/>
    <w:rPr>
      <w:rFonts w:ascii="Times New Roman" w:hAnsi="Times New Roman" w:cs="Times New Roman"/>
      <w:sz w:val="24"/>
    </w:rPr>
  </w:style>
  <w:style w:type="paragraph" w:styleId="PlainText">
    <w:name w:val="Plain Text"/>
    <w:basedOn w:val="Normal"/>
    <w:link w:val="PlainTextChar"/>
    <w:uiPriority w:val="99"/>
    <w:rsid w:val="00C4771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C47718"/>
    <w:rPr>
      <w:rFonts w:ascii="Courier New" w:hAnsi="Courier New" w:cs="Courier New"/>
      <w:sz w:val="20"/>
      <w:szCs w:val="20"/>
      <w:lang w:eastAsia="cs-CZ"/>
    </w:rPr>
  </w:style>
  <w:style w:type="paragraph" w:styleId="Header">
    <w:name w:val="header"/>
    <w:basedOn w:val="Normal"/>
    <w:link w:val="HeaderChar"/>
    <w:uiPriority w:val="99"/>
    <w:rsid w:val="00C47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4771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47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47718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2D602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D60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D602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D60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D6023"/>
    <w:rPr>
      <w:b/>
      <w:bCs/>
    </w:rPr>
  </w:style>
  <w:style w:type="table" w:styleId="TableGrid">
    <w:name w:val="Table Grid"/>
    <w:basedOn w:val="TableNormal"/>
    <w:uiPriority w:val="99"/>
    <w:rsid w:val="007171C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1">
    <w:name w:val="U1"/>
    <w:basedOn w:val="Heading1"/>
    <w:link w:val="U1Char"/>
    <w:uiPriority w:val="99"/>
    <w:rsid w:val="00E111C5"/>
    <w:pPr>
      <w:numPr>
        <w:numId w:val="13"/>
      </w:numPr>
    </w:pPr>
    <w:rPr>
      <w:color w:val="0D0D0D"/>
    </w:rPr>
  </w:style>
  <w:style w:type="paragraph" w:customStyle="1" w:styleId="U2">
    <w:name w:val="U2"/>
    <w:basedOn w:val="U1"/>
    <w:link w:val="U2Char"/>
    <w:autoRedefine/>
    <w:uiPriority w:val="99"/>
    <w:rsid w:val="00142ECC"/>
    <w:pPr>
      <w:numPr>
        <w:ilvl w:val="1"/>
        <w:numId w:val="25"/>
      </w:numPr>
      <w:spacing w:after="240"/>
      <w:jc w:val="both"/>
    </w:pPr>
    <w:rPr>
      <w:rFonts w:ascii="Times New Roman" w:hAnsi="Times New Roman"/>
      <w:sz w:val="24"/>
    </w:rPr>
  </w:style>
  <w:style w:type="character" w:customStyle="1" w:styleId="ListParagraphChar2">
    <w:name w:val="List Paragraph Char2"/>
    <w:basedOn w:val="DefaultParagraphFont"/>
    <w:link w:val="ListParagraph"/>
    <w:uiPriority w:val="99"/>
    <w:locked/>
    <w:rsid w:val="00FD4B76"/>
    <w:rPr>
      <w:rFonts w:cs="Times New Roman"/>
    </w:rPr>
  </w:style>
  <w:style w:type="character" w:customStyle="1" w:styleId="U1Char">
    <w:name w:val="U1 Char"/>
    <w:basedOn w:val="ListParagraphChar2"/>
    <w:link w:val="U1"/>
    <w:uiPriority w:val="99"/>
    <w:locked/>
    <w:rsid w:val="00E111C5"/>
    <w:rPr>
      <w:rFonts w:ascii="Cambria" w:hAnsi="Cambria"/>
      <w:b/>
      <w:bCs/>
      <w:color w:val="0D0D0D"/>
      <w:sz w:val="28"/>
      <w:szCs w:val="28"/>
    </w:rPr>
  </w:style>
  <w:style w:type="character" w:customStyle="1" w:styleId="U2Char">
    <w:name w:val="U2 Char"/>
    <w:basedOn w:val="ListParagraphChar2"/>
    <w:link w:val="U2"/>
    <w:uiPriority w:val="99"/>
    <w:locked/>
    <w:rsid w:val="00142ECC"/>
    <w:rPr>
      <w:rFonts w:ascii="Times New Roman" w:hAnsi="Times New Roman"/>
      <w:b/>
      <w:bCs/>
      <w:color w:val="0D0D0D"/>
      <w:sz w:val="28"/>
      <w:szCs w:val="28"/>
    </w:rPr>
  </w:style>
  <w:style w:type="paragraph" w:styleId="NormalWeb">
    <w:name w:val="Normal (Web)"/>
    <w:basedOn w:val="Normal"/>
    <w:uiPriority w:val="99"/>
    <w:semiHidden/>
    <w:rsid w:val="00F96AA0"/>
    <w:pPr>
      <w:spacing w:after="15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trong">
    <w:name w:val="Strong"/>
    <w:basedOn w:val="DefaultParagraphFont"/>
    <w:uiPriority w:val="99"/>
    <w:qFormat/>
    <w:rsid w:val="001855D9"/>
    <w:rPr>
      <w:rFonts w:cs="Times New Roman"/>
      <w:b/>
      <w:bCs/>
      <w:sz w:val="24"/>
      <w:szCs w:val="24"/>
      <w:bdr w:val="none" w:sz="0" w:space="0" w:color="auto" w:frame="1"/>
      <w:shd w:val="clear" w:color="auto" w:fill="auto"/>
      <w:vertAlign w:val="baseline"/>
    </w:rPr>
  </w:style>
  <w:style w:type="paragraph" w:customStyle="1" w:styleId="Normln1">
    <w:name w:val="Normální1"/>
    <w:basedOn w:val="Normal"/>
    <w:next w:val="Normal"/>
    <w:uiPriority w:val="99"/>
    <w:rsid w:val="00323388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itle">
    <w:name w:val="Title"/>
    <w:basedOn w:val="Normal"/>
    <w:next w:val="Normal"/>
    <w:link w:val="TitleChar"/>
    <w:uiPriority w:val="99"/>
    <w:qFormat/>
    <w:rsid w:val="00186736"/>
    <w:pPr>
      <w:framePr w:wrap="around" w:vAnchor="text" w:hAnchor="text" w:y="1"/>
      <w:spacing w:after="300" w:line="240" w:lineRule="auto"/>
      <w:contextualSpacing/>
    </w:pPr>
    <w:rPr>
      <w:rFonts w:ascii="Cambria" w:eastAsia="Times New Roman" w:hAnsi="Cambria"/>
      <w:color w:val="0D0D0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186736"/>
    <w:rPr>
      <w:rFonts w:ascii="Cambria" w:hAnsi="Cambria" w:cs="Times New Roman"/>
      <w:color w:val="0D0D0D"/>
      <w:spacing w:val="5"/>
      <w:kern w:val="28"/>
      <w:sz w:val="52"/>
      <w:szCs w:val="52"/>
    </w:rPr>
  </w:style>
  <w:style w:type="paragraph" w:styleId="TOC1">
    <w:name w:val="toc 1"/>
    <w:basedOn w:val="Normal"/>
    <w:next w:val="Normal"/>
    <w:autoRedefine/>
    <w:uiPriority w:val="99"/>
    <w:rsid w:val="00F90EC6"/>
    <w:pPr>
      <w:spacing w:after="100"/>
    </w:pPr>
  </w:style>
  <w:style w:type="character" w:styleId="Hyperlink">
    <w:name w:val="Hyperlink"/>
    <w:basedOn w:val="DefaultParagraphFont"/>
    <w:uiPriority w:val="99"/>
    <w:rsid w:val="00F90EC6"/>
    <w:rPr>
      <w:rFonts w:cs="Times New Roman"/>
      <w:color w:val="0000FF"/>
      <w:u w:val="single"/>
    </w:rPr>
  </w:style>
  <w:style w:type="paragraph" w:styleId="TOC2">
    <w:name w:val="toc 2"/>
    <w:basedOn w:val="Normal"/>
    <w:next w:val="Normal"/>
    <w:autoRedefine/>
    <w:uiPriority w:val="99"/>
    <w:rsid w:val="00F90EC6"/>
    <w:pPr>
      <w:spacing w:after="100"/>
      <w:ind w:left="220"/>
    </w:pPr>
  </w:style>
  <w:style w:type="paragraph" w:styleId="NoSpacing">
    <w:name w:val="No Spacing"/>
    <w:uiPriority w:val="99"/>
    <w:qFormat/>
    <w:rsid w:val="00DD47C8"/>
    <w:rPr>
      <w:lang w:eastAsia="en-US"/>
    </w:rPr>
  </w:style>
  <w:style w:type="paragraph" w:customStyle="1" w:styleId="U3">
    <w:name w:val="U3"/>
    <w:basedOn w:val="ListParagraph"/>
    <w:link w:val="U3Char"/>
    <w:uiPriority w:val="99"/>
    <w:rsid w:val="00B5316B"/>
    <w:pPr>
      <w:numPr>
        <w:numId w:val="3"/>
      </w:numPr>
      <w:spacing w:after="0"/>
    </w:pPr>
    <w:rPr>
      <w:rFonts w:ascii="Times New Roman" w:hAnsi="Times New Roman"/>
      <w:b/>
      <w:sz w:val="24"/>
    </w:rPr>
  </w:style>
  <w:style w:type="character" w:customStyle="1" w:styleId="U3Char">
    <w:name w:val="U3 Char"/>
    <w:basedOn w:val="ListParagraphChar2"/>
    <w:link w:val="U3"/>
    <w:uiPriority w:val="99"/>
    <w:locked/>
    <w:rsid w:val="00B5316B"/>
    <w:rPr>
      <w:rFonts w:ascii="Times New Roman" w:hAnsi="Times New Roman"/>
      <w:b/>
      <w:sz w:val="24"/>
    </w:rPr>
  </w:style>
  <w:style w:type="paragraph" w:styleId="TOCHeading">
    <w:name w:val="TOC Heading"/>
    <w:basedOn w:val="Heading1"/>
    <w:next w:val="Normal"/>
    <w:uiPriority w:val="99"/>
    <w:qFormat/>
    <w:rsid w:val="00746E50"/>
    <w:pPr>
      <w:outlineLvl w:val="9"/>
    </w:pPr>
    <w:rPr>
      <w:sz w:val="28"/>
    </w:rPr>
  </w:style>
  <w:style w:type="paragraph" w:customStyle="1" w:styleId="Styl1">
    <w:name w:val="Styl1"/>
    <w:basedOn w:val="Normal"/>
    <w:uiPriority w:val="99"/>
    <w:rsid w:val="00B21581"/>
    <w:pPr>
      <w:numPr>
        <w:numId w:val="30"/>
      </w:numPr>
      <w:spacing w:after="0" w:line="240" w:lineRule="auto"/>
      <w:contextualSpacing/>
      <w:jc w:val="both"/>
    </w:pPr>
    <w:rPr>
      <w:rFonts w:ascii="Times New Roman" w:eastAsia="Times New Roman" w:hAnsi="Times New Roman"/>
      <w:b/>
      <w:sz w:val="24"/>
    </w:rPr>
  </w:style>
  <w:style w:type="paragraph" w:customStyle="1" w:styleId="Styl2">
    <w:name w:val="Styl2"/>
    <w:basedOn w:val="Normal"/>
    <w:link w:val="Styl2Char"/>
    <w:uiPriority w:val="99"/>
    <w:rsid w:val="00B21581"/>
    <w:pPr>
      <w:numPr>
        <w:ilvl w:val="1"/>
        <w:numId w:val="30"/>
      </w:numPr>
      <w:spacing w:after="0" w:line="240" w:lineRule="auto"/>
      <w:contextualSpacing/>
      <w:jc w:val="both"/>
    </w:pPr>
    <w:rPr>
      <w:rFonts w:ascii="Times New Roman" w:eastAsia="Times New Roman" w:hAnsi="Times New Roman"/>
      <w:b/>
      <w:sz w:val="24"/>
    </w:rPr>
  </w:style>
  <w:style w:type="paragraph" w:customStyle="1" w:styleId="Styl3">
    <w:name w:val="Styl3"/>
    <w:basedOn w:val="Normal"/>
    <w:uiPriority w:val="99"/>
    <w:rsid w:val="00B21581"/>
    <w:pPr>
      <w:numPr>
        <w:ilvl w:val="2"/>
        <w:numId w:val="30"/>
      </w:numPr>
      <w:spacing w:after="0" w:line="240" w:lineRule="auto"/>
      <w:contextualSpacing/>
      <w:jc w:val="both"/>
    </w:pPr>
    <w:rPr>
      <w:rFonts w:ascii="Times New Roman" w:eastAsia="Times New Roman" w:hAnsi="Times New Roman"/>
      <w:b/>
      <w:sz w:val="24"/>
    </w:rPr>
  </w:style>
  <w:style w:type="character" w:customStyle="1" w:styleId="Styl2Char">
    <w:name w:val="Styl2 Char"/>
    <w:basedOn w:val="DefaultParagraphFont"/>
    <w:link w:val="Styl2"/>
    <w:uiPriority w:val="99"/>
    <w:locked/>
    <w:rsid w:val="00B21581"/>
    <w:rPr>
      <w:rFonts w:ascii="Times New Roman" w:hAnsi="Times New Roman" w:cs="Times New Roman"/>
      <w:b/>
      <w:sz w:val="24"/>
    </w:rPr>
  </w:style>
  <w:style w:type="paragraph" w:customStyle="1" w:styleId="ListParagraphChar">
    <w:name w:val="List Paragraph Char"/>
    <w:basedOn w:val="Normal"/>
    <w:link w:val="ListParagraphCharChar"/>
    <w:uiPriority w:val="99"/>
    <w:rsid w:val="001C7FD8"/>
    <w:pPr>
      <w:ind w:left="720"/>
    </w:pPr>
    <w:rPr>
      <w:rFonts w:cs="Calibri"/>
    </w:rPr>
  </w:style>
  <w:style w:type="character" w:customStyle="1" w:styleId="ListParagraphCharChar">
    <w:name w:val="List Paragraph Char Char"/>
    <w:basedOn w:val="DefaultParagraphFont"/>
    <w:link w:val="ListParagraphChar"/>
    <w:uiPriority w:val="99"/>
    <w:locked/>
    <w:rsid w:val="001C7FD8"/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23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3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23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23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230490">
                          <w:marLeft w:val="100"/>
                          <w:marRight w:val="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230492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23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23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23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230487">
                          <w:marLeft w:val="100"/>
                          <w:marRight w:val="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230494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media/image4.jpeg" Type="http://schemas.openxmlformats.org/officeDocument/2006/relationships/image"/>
<Relationship Id="rId11" Target="media/image5.jpeg" Type="http://schemas.openxmlformats.org/officeDocument/2006/relationships/image"/>
<Relationship Id="rId12" Target="media/image6.jpeg" Type="http://schemas.openxmlformats.org/officeDocument/2006/relationships/image"/>
<Relationship Id="rId13" Target="media/image7.jpeg" Type="http://schemas.openxmlformats.org/officeDocument/2006/relationships/image"/>
<Relationship Id="rId14" Target="footer1.xml" Type="http://schemas.openxmlformats.org/officeDocument/2006/relationships/footer"/>
<Relationship Id="rId15" Target="footer2.xml" Type="http://schemas.openxmlformats.org/officeDocument/2006/relationships/footer"/>
<Relationship Id="rId16" Target="fontTable.xml" Type="http://schemas.openxmlformats.org/officeDocument/2006/relationships/fontTable"/>
<Relationship Id="rId17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edia/image1.jpeg" Type="http://schemas.openxmlformats.org/officeDocument/2006/relationships/image"/>
<Relationship Id="rId8" Target="media/image2.jpeg" Type="http://schemas.openxmlformats.org/officeDocument/2006/relationships/image"/>
<Relationship Id="rId9" Target="media/image3.jpe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11</Pages>
  <Words>2550</Words>
  <Characters>15047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