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EE" w:rsidRDefault="003D41EE" w:rsidP="00D05EB6">
      <w:pPr>
        <w:spacing w:after="120" w:line="360" w:lineRule="auto"/>
        <w:jc w:val="both"/>
        <w:rPr>
          <w:rFonts w:ascii="Times New Roman" w:hAnsi="Times New Roman"/>
          <w:sz w:val="20"/>
          <w:szCs w:val="20"/>
        </w:rPr>
      </w:pPr>
      <w:bookmarkStart w:id="0" w:name="_GoBack"/>
      <w:bookmarkEnd w:id="0"/>
      <w:r>
        <w:rPr>
          <w:rFonts w:ascii="Times New Roman" w:hAnsi="Times New Roman"/>
          <w:sz w:val="20"/>
          <w:szCs w:val="20"/>
        </w:rPr>
        <w:t xml:space="preserve">              </w:t>
      </w:r>
    </w:p>
    <w:p w:rsidR="003D41EE" w:rsidRDefault="003D41EE" w:rsidP="00D05EB6">
      <w:pPr>
        <w:spacing w:after="120" w:line="360" w:lineRule="auto"/>
        <w:jc w:val="both"/>
        <w:rPr>
          <w:rFonts w:ascii="Times New Roman" w:hAnsi="Times New Roman"/>
          <w:sz w:val="20"/>
          <w:szCs w:val="20"/>
        </w:rPr>
      </w:pPr>
    </w:p>
    <w:p w:rsidR="003D41EE" w:rsidRPr="00D05EB6" w:rsidRDefault="003D41EE" w:rsidP="00D05EB6">
      <w:pPr>
        <w:spacing w:after="120" w:line="360" w:lineRule="auto"/>
        <w:jc w:val="both"/>
        <w:rPr>
          <w:rFonts w:ascii="Times New Roman" w:hAnsi="Times New Roman"/>
          <w:sz w:val="20"/>
          <w:szCs w:val="20"/>
        </w:rPr>
      </w:pPr>
    </w:p>
    <w:p w:rsidR="003D41EE" w:rsidRDefault="003D41EE" w:rsidP="0009232D">
      <w:pPr>
        <w:spacing w:after="120" w:line="360" w:lineRule="auto"/>
        <w:contextualSpacing/>
        <w:rPr>
          <w:rFonts w:ascii="Times New Roman" w:hAnsi="Times New Roman"/>
          <w:sz w:val="28"/>
          <w:szCs w:val="28"/>
        </w:rPr>
      </w:pPr>
      <w:r>
        <w:rPr>
          <w:rFonts w:ascii="Times New Roman" w:hAnsi="Times New Roman"/>
          <w:sz w:val="28"/>
          <w:szCs w:val="28"/>
        </w:rPr>
        <w:t xml:space="preserve">      Vážený pane náčelníku Generálního štábu Armády České </w:t>
      </w:r>
      <w:proofErr w:type="gramStart"/>
      <w:r>
        <w:rPr>
          <w:rFonts w:ascii="Times New Roman" w:hAnsi="Times New Roman"/>
          <w:sz w:val="28"/>
          <w:szCs w:val="28"/>
        </w:rPr>
        <w:t>republiky,        dámy</w:t>
      </w:r>
      <w:proofErr w:type="gramEnd"/>
      <w:r>
        <w:rPr>
          <w:rFonts w:ascii="Times New Roman" w:hAnsi="Times New Roman"/>
          <w:sz w:val="28"/>
          <w:szCs w:val="28"/>
        </w:rPr>
        <w:t xml:space="preserve"> a pánové,</w:t>
      </w:r>
    </w:p>
    <w:p w:rsidR="003D41EE" w:rsidRDefault="003D41EE" w:rsidP="000154DA">
      <w:pPr>
        <w:spacing w:after="120" w:line="360" w:lineRule="auto"/>
        <w:contextualSpacing/>
        <w:jc w:val="both"/>
        <w:rPr>
          <w:rFonts w:ascii="Times New Roman" w:hAnsi="Times New Roman"/>
          <w:sz w:val="28"/>
          <w:szCs w:val="28"/>
        </w:rPr>
      </w:pPr>
    </w:p>
    <w:p w:rsidR="003D41EE" w:rsidRDefault="003D41EE" w:rsidP="000154DA">
      <w:pPr>
        <w:spacing w:after="120" w:line="360" w:lineRule="auto"/>
        <w:contextualSpacing/>
        <w:jc w:val="both"/>
        <w:rPr>
          <w:rFonts w:ascii="Times New Roman" w:hAnsi="Times New Roman"/>
          <w:sz w:val="28"/>
          <w:szCs w:val="28"/>
        </w:rPr>
      </w:pPr>
      <w:r>
        <w:rPr>
          <w:rFonts w:ascii="Times New Roman" w:hAnsi="Times New Roman"/>
          <w:sz w:val="28"/>
          <w:szCs w:val="28"/>
        </w:rPr>
        <w:t xml:space="preserve">     třináctého ledna tohoto roku Senát Parlamentu České republiky schválil tři pro obranu země velmi významné normy – novelu branného zákona, novelu zákona o ozbrojených silách a nový zákon o službě vojáků v záloze. Zcela zásadní změnou je možnost přihlásit se k dobrovolným odvodům a projít základním výcvikem. V kontextu současné komplikované bezpečnostní situace se tak našim občanům otevírá možnost, aby se v daleko větší míře mohli podílet na obraně státu.  Pouhá změna legislativy však samozřejmě nestačí. Musí tu být někdo, kdo nová ustanovení uplatní v praxi. Naplněnost některých jednotek má dnes totiž k dokonalosti opravdu daleko.</w:t>
      </w:r>
    </w:p>
    <w:p w:rsidR="003D41EE" w:rsidRDefault="003D41EE" w:rsidP="000154DA">
      <w:pPr>
        <w:spacing w:after="120" w:line="360" w:lineRule="auto"/>
        <w:contextualSpacing/>
        <w:jc w:val="both"/>
        <w:rPr>
          <w:rFonts w:ascii="Times New Roman" w:hAnsi="Times New Roman"/>
          <w:sz w:val="28"/>
          <w:szCs w:val="28"/>
        </w:rPr>
      </w:pPr>
      <w:r>
        <w:rPr>
          <w:rFonts w:ascii="Times New Roman" w:hAnsi="Times New Roman"/>
          <w:sz w:val="28"/>
          <w:szCs w:val="28"/>
        </w:rPr>
        <w:t xml:space="preserve">     Armádu potřebujeme. Armádu univerzálně použitelnou, </w:t>
      </w:r>
      <w:proofErr w:type="gramStart"/>
      <w:r>
        <w:rPr>
          <w:rFonts w:ascii="Times New Roman" w:hAnsi="Times New Roman"/>
          <w:sz w:val="28"/>
          <w:szCs w:val="28"/>
        </w:rPr>
        <w:t>akceschopnou           a perfektně</w:t>
      </w:r>
      <w:proofErr w:type="gramEnd"/>
      <w:r>
        <w:rPr>
          <w:rFonts w:ascii="Times New Roman" w:hAnsi="Times New Roman"/>
          <w:sz w:val="28"/>
          <w:szCs w:val="28"/>
        </w:rPr>
        <w:t xml:space="preserve"> připravenou. V některých odbornostech jsme tradičně silní – jsou to například speciální síly, chemické vojsko, logistika, letectvo. Aktuální situace v takzvané uprchlické krizi a na ukrajinsko-ruské hranici však ukazuje, že bude třeba nekompromisně podpořit také renesanci pozemního vojska.</w:t>
      </w:r>
    </w:p>
    <w:p w:rsidR="003D41EE" w:rsidRPr="000154DA" w:rsidRDefault="003D41EE" w:rsidP="000154DA">
      <w:pPr>
        <w:spacing w:after="120" w:line="360" w:lineRule="auto"/>
        <w:contextualSpacing/>
        <w:jc w:val="both"/>
        <w:rPr>
          <w:rFonts w:ascii="Times New Roman" w:hAnsi="Times New Roman"/>
          <w:sz w:val="28"/>
          <w:szCs w:val="28"/>
        </w:rPr>
      </w:pPr>
      <w:r>
        <w:rPr>
          <w:rFonts w:ascii="Times New Roman" w:hAnsi="Times New Roman"/>
          <w:sz w:val="28"/>
          <w:szCs w:val="28"/>
        </w:rPr>
        <w:t xml:space="preserve">     V aktivní záloze bychom dnes měli mít na tři tisíce mužů a žen, ve skutečnosti disponujeme pouhou polovinou tohoto počtu. Koncepce výstavby AČR do roku 2025 přitom počítá s pěti tisíci příslušníky aktivní zálohy, kteří by měli ve výcviku strávit zhruba čtyři týdny ročně a být připraveni natolik kvalitně, aby bylo schopni v případě potřeby zastoupit profesionální vojáky, kterých má být sedmadvacet tisíc.</w:t>
      </w:r>
    </w:p>
    <w:p w:rsidR="003D41EE" w:rsidRDefault="003D41EE" w:rsidP="0086629D">
      <w:pPr>
        <w:spacing w:after="120" w:line="240" w:lineRule="auto"/>
        <w:ind w:firstLine="708"/>
        <w:jc w:val="both"/>
        <w:rPr>
          <w:rFonts w:ascii="Times New Roman" w:hAnsi="Times New Roman"/>
          <w:sz w:val="24"/>
          <w:szCs w:val="24"/>
        </w:rPr>
      </w:pPr>
    </w:p>
    <w:p w:rsidR="003D41EE" w:rsidRDefault="003D41EE" w:rsidP="00A93CD2">
      <w:pPr>
        <w:spacing w:after="120" w:line="360" w:lineRule="auto"/>
        <w:jc w:val="both"/>
        <w:rPr>
          <w:rFonts w:ascii="Times New Roman" w:hAnsi="Times New Roman"/>
          <w:sz w:val="28"/>
          <w:szCs w:val="28"/>
        </w:rPr>
      </w:pPr>
      <w:r>
        <w:rPr>
          <w:rFonts w:ascii="Times New Roman" w:hAnsi="Times New Roman"/>
          <w:sz w:val="28"/>
          <w:szCs w:val="28"/>
        </w:rPr>
        <w:t xml:space="preserve">     Je samozřejmé, že příslušníci aktivní zálohy obdrží za svoji práci finanční náhradu a s náležitou kompenzací mohou počítat i jejich zaměstnavatelé. Kromě </w:t>
      </w:r>
      <w:r>
        <w:rPr>
          <w:rFonts w:ascii="Times New Roman" w:hAnsi="Times New Roman"/>
          <w:sz w:val="28"/>
          <w:szCs w:val="28"/>
        </w:rPr>
        <w:lastRenderedPageBreak/>
        <w:t xml:space="preserve">toho bude platit, že vojáci z povolání po skončení svého služebního poměru budou až na dobu tří let automaticky zařazeni do aktivních záloh, aby tak nedošlo k okamžité ztrátě jejich draze (a to doslova) získaných </w:t>
      </w:r>
      <w:proofErr w:type="gramStart"/>
      <w:r>
        <w:rPr>
          <w:rFonts w:ascii="Times New Roman" w:hAnsi="Times New Roman"/>
          <w:sz w:val="28"/>
          <w:szCs w:val="28"/>
        </w:rPr>
        <w:t>znalostí               a zkušeností</w:t>
      </w:r>
      <w:proofErr w:type="gramEnd"/>
      <w:r>
        <w:rPr>
          <w:rFonts w:ascii="Times New Roman" w:hAnsi="Times New Roman"/>
          <w:sz w:val="28"/>
          <w:szCs w:val="28"/>
        </w:rPr>
        <w:t>.</w:t>
      </w:r>
    </w:p>
    <w:p w:rsidR="003D41EE" w:rsidRDefault="003D41EE" w:rsidP="00A93CD2">
      <w:pPr>
        <w:spacing w:after="120" w:line="360" w:lineRule="auto"/>
        <w:jc w:val="both"/>
        <w:rPr>
          <w:rFonts w:ascii="Times New Roman" w:hAnsi="Times New Roman"/>
          <w:sz w:val="28"/>
          <w:szCs w:val="28"/>
        </w:rPr>
      </w:pPr>
      <w:r>
        <w:rPr>
          <w:rFonts w:ascii="Times New Roman" w:hAnsi="Times New Roman"/>
          <w:sz w:val="28"/>
          <w:szCs w:val="28"/>
        </w:rPr>
        <w:t xml:space="preserve">     Dámy a pánové, rozpočet na rok 2016 je k armádě štědrý – v kapitole obrana je téměř o deset procent vyšší, než byl ten loňský. To není náhoda, ale logický důsledek turbulentních tendencí vývoje na mezinárodní scéně. Jak jsem již uvedl, armáda vypracovala svoji koncepci výstavby do roku 2025. Díky tomu je přesně definováno, co, v jakém množství a v jakých specifikacích potřebujeme. Důležité je, že tato změna, tedy urgentní potřeba získávání nových lidských zdrojů, modernizace a investic, je nejen výrazná a nepřehlédnutelná, ale v širokém politickém spektru konsensuální. Je dobré o změnách debatovat – ale ještě lepší je tyto změny skutečně provést.</w:t>
      </w:r>
    </w:p>
    <w:p w:rsidR="003D41EE" w:rsidRDefault="003D41EE" w:rsidP="00A93CD2">
      <w:pPr>
        <w:spacing w:after="120" w:line="360" w:lineRule="auto"/>
        <w:jc w:val="both"/>
        <w:rPr>
          <w:rFonts w:ascii="Times New Roman" w:hAnsi="Times New Roman"/>
          <w:sz w:val="28"/>
          <w:szCs w:val="28"/>
        </w:rPr>
      </w:pPr>
      <w:r>
        <w:rPr>
          <w:rFonts w:ascii="Times New Roman" w:hAnsi="Times New Roman"/>
          <w:sz w:val="28"/>
          <w:szCs w:val="28"/>
        </w:rPr>
        <w:t xml:space="preserve">     Aktivní zálohy patří k systému zabezpečení naší síly a obranyschopnosti. Jejich příslušníci již mnohokráte osvědčili svoji schopnost plnit </w:t>
      </w:r>
      <w:proofErr w:type="gramStart"/>
      <w:r>
        <w:rPr>
          <w:rFonts w:ascii="Times New Roman" w:hAnsi="Times New Roman"/>
          <w:sz w:val="28"/>
          <w:szCs w:val="28"/>
        </w:rPr>
        <w:t>spolehlivě          a precizně</w:t>
      </w:r>
      <w:proofErr w:type="gramEnd"/>
      <w:r>
        <w:rPr>
          <w:rFonts w:ascii="Times New Roman" w:hAnsi="Times New Roman"/>
          <w:sz w:val="28"/>
          <w:szCs w:val="28"/>
        </w:rPr>
        <w:t xml:space="preserve"> svoje úkoly. </w:t>
      </w:r>
    </w:p>
    <w:p w:rsidR="003D41EE" w:rsidRDefault="003D41EE" w:rsidP="00A93CD2">
      <w:pPr>
        <w:spacing w:after="120" w:line="360" w:lineRule="auto"/>
        <w:jc w:val="both"/>
        <w:rPr>
          <w:rFonts w:ascii="Times New Roman" w:hAnsi="Times New Roman"/>
          <w:sz w:val="28"/>
          <w:szCs w:val="28"/>
        </w:rPr>
      </w:pPr>
      <w:r>
        <w:rPr>
          <w:rFonts w:ascii="Times New Roman" w:hAnsi="Times New Roman"/>
          <w:sz w:val="28"/>
          <w:szCs w:val="28"/>
        </w:rPr>
        <w:t xml:space="preserve">     Dobré jméno aktivních záloh vzniká dlouhodobým a soustředěným úsilím těch, kteří své práci dokonale rozumějí a vykonávají ji s patřičným </w:t>
      </w:r>
      <w:proofErr w:type="gramStart"/>
      <w:r>
        <w:rPr>
          <w:rFonts w:ascii="Times New Roman" w:hAnsi="Times New Roman"/>
          <w:sz w:val="28"/>
          <w:szCs w:val="28"/>
        </w:rPr>
        <w:t>zápalem        i profesionalitou</w:t>
      </w:r>
      <w:proofErr w:type="gramEnd"/>
      <w:r>
        <w:rPr>
          <w:rFonts w:ascii="Times New Roman" w:hAnsi="Times New Roman"/>
          <w:sz w:val="28"/>
          <w:szCs w:val="28"/>
        </w:rPr>
        <w:t>. Na českou armádu nelze v žádném případě hledět jako na uzavřenou a do sebe zahleděnou instituci. Rád bych v této souvislosti připomněl, že příslušník aktivních vojenských záloh, který se rozhodl stát se záložním vojákem, je také aktivním občanem a vlastencem. To není málo.</w:t>
      </w:r>
    </w:p>
    <w:p w:rsidR="003D41EE" w:rsidRPr="00A93CD2" w:rsidRDefault="003D41EE" w:rsidP="00A93CD2">
      <w:pPr>
        <w:spacing w:after="120" w:line="360" w:lineRule="auto"/>
        <w:jc w:val="both"/>
        <w:rPr>
          <w:rFonts w:ascii="Times New Roman" w:hAnsi="Times New Roman"/>
          <w:sz w:val="28"/>
          <w:szCs w:val="28"/>
        </w:rPr>
      </w:pPr>
    </w:p>
    <w:p w:rsidR="003D41EE" w:rsidRPr="008264AC" w:rsidRDefault="003D41EE">
      <w:pPr>
        <w:rPr>
          <w:rFonts w:ascii="Times New Roman" w:hAnsi="Times New Roman"/>
          <w:sz w:val="20"/>
          <w:szCs w:val="20"/>
        </w:rPr>
      </w:pPr>
      <w:r>
        <w:rPr>
          <w:rFonts w:ascii="Times New Roman" w:hAnsi="Times New Roman"/>
          <w:sz w:val="20"/>
          <w:szCs w:val="20"/>
        </w:rPr>
        <w:t xml:space="preserve">                                                                </w:t>
      </w:r>
    </w:p>
    <w:sectPr w:rsidR="003D41EE" w:rsidRPr="008264AC" w:rsidSect="00086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9D"/>
    <w:rsid w:val="000000BE"/>
    <w:rsid w:val="000154DA"/>
    <w:rsid w:val="00086821"/>
    <w:rsid w:val="0009232D"/>
    <w:rsid w:val="000A71E3"/>
    <w:rsid w:val="000B039C"/>
    <w:rsid w:val="000F0CAA"/>
    <w:rsid w:val="00125C66"/>
    <w:rsid w:val="00132AB3"/>
    <w:rsid w:val="001903E8"/>
    <w:rsid w:val="001974F8"/>
    <w:rsid w:val="00267EF1"/>
    <w:rsid w:val="003225B7"/>
    <w:rsid w:val="0037609F"/>
    <w:rsid w:val="003A77D1"/>
    <w:rsid w:val="003B5F9B"/>
    <w:rsid w:val="003D41EE"/>
    <w:rsid w:val="0041766C"/>
    <w:rsid w:val="004B5858"/>
    <w:rsid w:val="004C253A"/>
    <w:rsid w:val="005B72DA"/>
    <w:rsid w:val="005C636E"/>
    <w:rsid w:val="005E17BF"/>
    <w:rsid w:val="00620815"/>
    <w:rsid w:val="00637FD4"/>
    <w:rsid w:val="00654833"/>
    <w:rsid w:val="006B4A26"/>
    <w:rsid w:val="006C11F1"/>
    <w:rsid w:val="006F0ECE"/>
    <w:rsid w:val="008264AC"/>
    <w:rsid w:val="00830E7E"/>
    <w:rsid w:val="0086629D"/>
    <w:rsid w:val="008A383A"/>
    <w:rsid w:val="008B74A6"/>
    <w:rsid w:val="009200C8"/>
    <w:rsid w:val="00927AAF"/>
    <w:rsid w:val="00996919"/>
    <w:rsid w:val="009D3DB9"/>
    <w:rsid w:val="00A93CD2"/>
    <w:rsid w:val="00AB0F95"/>
    <w:rsid w:val="00AE2C42"/>
    <w:rsid w:val="00B43EF0"/>
    <w:rsid w:val="00C00BDF"/>
    <w:rsid w:val="00C5370D"/>
    <w:rsid w:val="00C7024F"/>
    <w:rsid w:val="00D0157D"/>
    <w:rsid w:val="00D05EB6"/>
    <w:rsid w:val="00D54EA9"/>
    <w:rsid w:val="00D84C7B"/>
    <w:rsid w:val="00DD2156"/>
    <w:rsid w:val="00E37841"/>
    <w:rsid w:val="00EA3756"/>
    <w:rsid w:val="00EC70A6"/>
    <w:rsid w:val="00ED3C08"/>
    <w:rsid w:val="00F02160"/>
    <w:rsid w:val="00F578E7"/>
    <w:rsid w:val="00F84F87"/>
    <w:rsid w:val="00FE2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629D"/>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0923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23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629D"/>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0923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23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Pages>
  <Words>481</Words>
  <Characters>2842</Characters>
  <Application/>
  <DocSecurity>0</DocSecurity>
  <Lines>23</Lines>
  <Paragraphs>6</Paragraphs>
  <ScaleCrop>false</ScaleCrop>
  <HeadingPairs>
    <vt:vector baseType="variant" size="2">
      <vt:variant>
        <vt:lpstr>Název</vt:lpstr>
      </vt:variant>
      <vt:variant>
        <vt:i4>1</vt:i4>
      </vt:variant>
    </vt:vector>
  </HeadingPairs>
  <TitlesOfParts>
    <vt:vector baseType="lpstr" size="1">
      <vt:lpstr>Návrh projevu MO – konference „Aktivní záloha OS ČR – Výzvy a příležitosti“; Praha, 27</vt:lpstr>
    </vt:vector>
  </TitlesOfParts>
  <Company/>
  <LinksUpToDate>false</LinksUpToDate>
  <CharactersWithSpaces>3317</CharactersWithSpaces>
  <SharedDoc>false</SharedDoc>
  <HyperlinksChanged>false</HyperlinksChanged>
  <AppVersion>14.0000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